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2C2B92">
        <w:rPr>
          <w:rFonts w:ascii="Calibri" w:hAnsi="Calibri" w:cs="Arial"/>
          <w:b/>
          <w:bCs/>
          <w:iCs/>
          <w:color w:val="7F7F7F" w:themeColor="text1" w:themeTint="80"/>
          <w:sz w:val="26"/>
          <w:szCs w:val="26"/>
        </w:rPr>
        <w:t>1</w:t>
      </w:r>
      <w:r w:rsidR="00A4026C">
        <w:rPr>
          <w:rFonts w:ascii="Calibri" w:hAnsi="Calibri" w:cs="Arial"/>
          <w:b/>
          <w:bCs/>
          <w:iCs/>
          <w:color w:val="7F7F7F" w:themeColor="text1" w:themeTint="80"/>
          <w:sz w:val="26"/>
          <w:szCs w:val="26"/>
        </w:rPr>
        <w:t>5</w:t>
      </w:r>
      <w:r w:rsidR="002C2B92">
        <w:rPr>
          <w:rFonts w:ascii="Calibri" w:hAnsi="Calibri" w:cs="Arial"/>
          <w:b/>
          <w:bCs/>
          <w:iCs/>
          <w:color w:val="7F7F7F" w:themeColor="text1" w:themeTint="80"/>
          <w:sz w:val="26"/>
          <w:szCs w:val="26"/>
        </w:rPr>
        <w:t xml:space="preserve"> </w:t>
      </w:r>
      <w:r w:rsidR="00A4026C">
        <w:rPr>
          <w:rFonts w:ascii="Calibri" w:hAnsi="Calibri" w:cs="Arial"/>
          <w:b/>
          <w:bCs/>
          <w:iCs/>
          <w:color w:val="7F7F7F" w:themeColor="text1" w:themeTint="80"/>
          <w:sz w:val="26"/>
          <w:szCs w:val="26"/>
        </w:rPr>
        <w:t>quin</w:t>
      </w:r>
      <w:r w:rsidR="002C2B92">
        <w:rPr>
          <w:rFonts w:ascii="Calibri" w:hAnsi="Calibri" w:cs="Arial"/>
          <w:b/>
          <w:bCs/>
          <w:iCs/>
          <w:color w:val="7F7F7F" w:themeColor="text1" w:themeTint="80"/>
          <w:sz w:val="26"/>
          <w:szCs w:val="26"/>
        </w:rPr>
        <w:t>ce</w:t>
      </w:r>
      <w:r w:rsidR="006D41F4">
        <w:rPr>
          <w:rFonts w:ascii="Calibri" w:hAnsi="Calibri" w:cs="Arial"/>
          <w:b/>
          <w:bCs/>
          <w:iCs/>
          <w:color w:val="7F7F7F" w:themeColor="text1" w:themeTint="80"/>
          <w:sz w:val="26"/>
          <w:szCs w:val="26"/>
        </w:rPr>
        <w:t xml:space="preserve"> de marzo</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2C2B92">
        <w:rPr>
          <w:rFonts w:ascii="Calibri" w:hAnsi="Calibri" w:cs="Arial"/>
          <w:b/>
          <w:color w:val="7F7F7F" w:themeColor="text1" w:themeTint="80"/>
          <w:sz w:val="26"/>
          <w:szCs w:val="26"/>
        </w:rPr>
        <w:t>538/2015-JN</w:t>
      </w:r>
      <w:r w:rsidRPr="00BF5CA7">
        <w:rPr>
          <w:rFonts w:ascii="Calibri" w:hAnsi="Calibri" w:cs="Arial"/>
          <w:color w:val="7F7F7F" w:themeColor="text1" w:themeTint="80"/>
          <w:sz w:val="26"/>
          <w:szCs w:val="26"/>
        </w:rPr>
        <w:t xml:space="preserve">, promovido por </w:t>
      </w:r>
      <w:r w:rsidR="00792CFC">
        <w:rPr>
          <w:rFonts w:ascii="Calibri" w:hAnsi="Calibri" w:cs="Arial"/>
          <w:color w:val="7F7F7F" w:themeColor="text1" w:themeTint="80"/>
          <w:sz w:val="26"/>
          <w:szCs w:val="26"/>
        </w:rPr>
        <w:t>el ciudadano</w:t>
      </w:r>
      <w:r w:rsidRPr="00BF5CA7">
        <w:rPr>
          <w:rFonts w:ascii="Calibri" w:hAnsi="Calibri" w:cs="Arial"/>
          <w:color w:val="7F7F7F" w:themeColor="text1" w:themeTint="80"/>
          <w:sz w:val="26"/>
          <w:szCs w:val="26"/>
        </w:rPr>
        <w:t xml:space="preserve"> </w:t>
      </w:r>
      <w:r w:rsidR="00CD56F6">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 . </w:t>
      </w:r>
      <w:r w:rsidR="00A4026C">
        <w:rPr>
          <w:rFonts w:ascii="Calibri" w:hAnsi="Calibri" w:cs="Arial"/>
          <w:color w:val="7F7F7F" w:themeColor="text1" w:themeTint="80"/>
          <w:sz w:val="26"/>
          <w:szCs w:val="26"/>
        </w:rPr>
        <w:t xml:space="preserve">. . . . . . . . . . . .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BF5CA7" w:rsidRDefault="004B3DFC" w:rsidP="004B3DFC">
      <w:pPr>
        <w:jc w:val="both"/>
        <w:rPr>
          <w:rFonts w:ascii="Calibri" w:hAnsi="Calibri" w:cs="Arial"/>
          <w:b/>
          <w:i/>
          <w:iCs/>
          <w:color w:val="7F7F7F" w:themeColor="text1" w:themeTint="80"/>
          <w:sz w:val="22"/>
          <w:szCs w:val="26"/>
        </w:rPr>
      </w:pPr>
    </w:p>
    <w:p w:rsidR="00014356" w:rsidRPr="00BF5CA7" w:rsidRDefault="00014356" w:rsidP="004B3DFC">
      <w:pPr>
        <w:pStyle w:val="Textoindependiente"/>
        <w:ind w:firstLine="708"/>
        <w:rPr>
          <w:rFonts w:ascii="Calibri" w:hAnsi="Calibri"/>
          <w:b/>
          <w:bCs/>
          <w:i/>
          <w:iCs/>
          <w:color w:val="7F7F7F" w:themeColor="text1" w:themeTint="80"/>
          <w:sz w:val="22"/>
          <w:szCs w:val="26"/>
        </w:rPr>
      </w:pPr>
    </w:p>
    <w:p w:rsidR="004B3DFC" w:rsidRPr="002A3DAF" w:rsidRDefault="004B3DFC" w:rsidP="002A3DAF">
      <w:pPr>
        <w:ind w:firstLine="708"/>
        <w:jc w:val="both"/>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216FD3">
        <w:rPr>
          <w:rFonts w:ascii="Calibri" w:hAnsi="Calibri" w:cs="Arial"/>
          <w:color w:val="7F7F7F" w:themeColor="text1" w:themeTint="80"/>
          <w:sz w:val="26"/>
          <w:szCs w:val="26"/>
        </w:rPr>
        <w:t>el actor</w:t>
      </w:r>
      <w:r w:rsidR="000022A1">
        <w:rPr>
          <w:rFonts w:ascii="Calibri" w:hAnsi="Calibri" w:cs="Arial"/>
          <w:color w:val="7F7F7F" w:themeColor="text1" w:themeTint="80"/>
          <w:sz w:val="26"/>
          <w:szCs w:val="26"/>
        </w:rPr>
        <w:t xml:space="preserve"> se ostenta</w:t>
      </w:r>
      <w:r w:rsidRPr="00BF5CA7">
        <w:rPr>
          <w:rFonts w:ascii="Calibri" w:hAnsi="Calibri" w:cs="Arial"/>
          <w:color w:val="7F7F7F" w:themeColor="text1" w:themeTint="80"/>
          <w:sz w:val="26"/>
          <w:szCs w:val="26"/>
        </w:rPr>
        <w:t xml:space="preserve"> s</w:t>
      </w:r>
      <w:r w:rsidR="002A3DAF">
        <w:rPr>
          <w:rFonts w:ascii="Calibri" w:hAnsi="Calibri" w:cs="Arial"/>
          <w:color w:val="7F7F7F" w:themeColor="text1" w:themeTint="80"/>
          <w:sz w:val="26"/>
          <w:szCs w:val="26"/>
        </w:rPr>
        <w:t>abedor de los actos impugnados</w:t>
      </w:r>
      <w:r w:rsidR="002A3DAF" w:rsidRPr="002A3DAF">
        <w:rPr>
          <w:rFonts w:ascii="Calibri" w:hAnsi="Calibri" w:cs="Arial"/>
          <w:color w:val="7F7F7F" w:themeColor="text1" w:themeTint="80"/>
          <w:sz w:val="26"/>
          <w:szCs w:val="26"/>
        </w:rPr>
        <w:t xml:space="preserve">, lo que fue el día </w:t>
      </w:r>
      <w:r w:rsidR="00D22BF3">
        <w:rPr>
          <w:rFonts w:ascii="Calibri" w:hAnsi="Calibri" w:cs="Arial"/>
          <w:color w:val="7F7F7F" w:themeColor="text1" w:themeTint="80"/>
          <w:sz w:val="26"/>
          <w:szCs w:val="26"/>
        </w:rPr>
        <w:t>21 veintiuno de mayo</w:t>
      </w:r>
      <w:r w:rsidR="002A3DAF" w:rsidRPr="002A3DAF">
        <w:rPr>
          <w:rFonts w:ascii="Calibri" w:hAnsi="Calibri" w:cs="Arial"/>
          <w:color w:val="7F7F7F" w:themeColor="text1" w:themeTint="80"/>
          <w:sz w:val="26"/>
          <w:szCs w:val="26"/>
        </w:rPr>
        <w:t xml:space="preserve"> del 201</w:t>
      </w:r>
      <w:r w:rsidR="00AB357D">
        <w:rPr>
          <w:rFonts w:ascii="Calibri" w:hAnsi="Calibri" w:cs="Arial"/>
          <w:color w:val="7F7F7F" w:themeColor="text1" w:themeTint="80"/>
          <w:sz w:val="26"/>
          <w:szCs w:val="26"/>
        </w:rPr>
        <w:t>5</w:t>
      </w:r>
      <w:r w:rsidR="002A3DAF" w:rsidRPr="002A3DAF">
        <w:rPr>
          <w:rFonts w:ascii="Calibri" w:hAnsi="Calibri" w:cs="Arial"/>
          <w:color w:val="7F7F7F" w:themeColor="text1" w:themeTint="80"/>
          <w:sz w:val="26"/>
          <w:szCs w:val="26"/>
        </w:rPr>
        <w:t xml:space="preserve"> dos mil </w:t>
      </w:r>
      <w:r w:rsidR="00AB357D">
        <w:rPr>
          <w:rFonts w:ascii="Calibri" w:hAnsi="Calibri" w:cs="Arial"/>
          <w:color w:val="7F7F7F" w:themeColor="text1" w:themeTint="80"/>
          <w:sz w:val="26"/>
          <w:szCs w:val="26"/>
        </w:rPr>
        <w:t>quince</w:t>
      </w:r>
      <w:r w:rsidR="002A3DAF">
        <w:rPr>
          <w:rFonts w:ascii="Calibri" w:hAnsi="Calibri" w:cs="Arial"/>
          <w:color w:val="7F7F7F" w:themeColor="text1" w:themeTint="80"/>
          <w:sz w:val="26"/>
          <w:szCs w:val="26"/>
        </w:rPr>
        <w:t xml:space="preserve">, </w:t>
      </w:r>
      <w:r w:rsidR="002A3DAF" w:rsidRPr="002A3DAF">
        <w:rPr>
          <w:rFonts w:ascii="Calibri" w:hAnsi="Calibri" w:cs="Arial"/>
          <w:color w:val="7F7F7F" w:themeColor="text1" w:themeTint="80"/>
          <w:sz w:val="26"/>
          <w:szCs w:val="26"/>
        </w:rPr>
        <w:t>sin que de las constancias del presente expediente se desprenda lo contrario . . . . . . . .</w:t>
      </w:r>
      <w:r w:rsidR="002A3DAF" w:rsidRPr="00257988">
        <w:rPr>
          <w:rFonts w:ascii="Calibri" w:hAnsi="Calibri"/>
          <w:color w:val="000000" w:themeColor="text1"/>
          <w:sz w:val="26"/>
          <w:szCs w:val="26"/>
        </w:rPr>
        <w:t xml:space="preserve"> </w:t>
      </w:r>
      <w:r w:rsidRPr="00BF5CA7">
        <w:rPr>
          <w:rFonts w:ascii="Calibri" w:hAnsi="Calibri"/>
          <w:color w:val="7F7F7F" w:themeColor="text1" w:themeTint="80"/>
          <w:sz w:val="26"/>
          <w:szCs w:val="26"/>
        </w:rPr>
        <w:t xml:space="preserve">. . . . . . . . . . . . . . . . </w:t>
      </w:r>
      <w:r w:rsidR="00C73B77">
        <w:rPr>
          <w:rFonts w:ascii="Calibri" w:hAnsi="Calibri"/>
          <w:color w:val="7F7F7F" w:themeColor="text1" w:themeTint="80"/>
          <w:sz w:val="26"/>
          <w:szCs w:val="26"/>
        </w:rPr>
        <w:t>. . . . . . . . . . .</w:t>
      </w:r>
      <w:r w:rsidR="00E31BEB">
        <w:rPr>
          <w:rFonts w:ascii="Calibri" w:hAnsi="Calibri"/>
          <w:color w:val="7F7F7F" w:themeColor="text1" w:themeTint="80"/>
          <w:sz w:val="26"/>
          <w:szCs w:val="26"/>
        </w:rPr>
        <w:t xml:space="preserve"> . . </w:t>
      </w:r>
    </w:p>
    <w:p w:rsidR="004B3DFC" w:rsidRPr="00BF5CA7" w:rsidRDefault="004B3DFC" w:rsidP="004B3DFC">
      <w:pPr>
        <w:jc w:val="both"/>
        <w:rPr>
          <w:rFonts w:ascii="Calibri" w:hAnsi="Calibri"/>
          <w:b/>
          <w:i/>
          <w:iCs/>
          <w:color w:val="7F7F7F" w:themeColor="text1" w:themeTint="80"/>
          <w:sz w:val="26"/>
          <w:szCs w:val="26"/>
        </w:rPr>
      </w:pPr>
    </w:p>
    <w:p w:rsidR="00116B5A" w:rsidRDefault="004B3DFC" w:rsidP="00116B5A">
      <w:pPr>
        <w:ind w:firstLine="708"/>
        <w:jc w:val="both"/>
        <w:rPr>
          <w:rFonts w:ascii="Calibri" w:hAnsi="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como </w:t>
      </w:r>
      <w:r w:rsidR="00E0072D">
        <w:rPr>
          <w:rFonts w:ascii="Calibri" w:hAnsi="Calibri" w:cs="Calibri"/>
          <w:color w:val="7F7F7F" w:themeColor="text1" w:themeTint="80"/>
          <w:sz w:val="26"/>
          <w:szCs w:val="26"/>
        </w:rPr>
        <w:t xml:space="preserve">con </w:t>
      </w:r>
      <w:r w:rsidRPr="00BF5CA7">
        <w:rPr>
          <w:rFonts w:ascii="Calibri" w:hAnsi="Calibri" w:cs="Calibri"/>
          <w:color w:val="7F7F7F" w:themeColor="text1" w:themeTint="80"/>
          <w:sz w:val="26"/>
          <w:szCs w:val="26"/>
        </w:rPr>
        <w:t xml:space="preserve">las copias al carbón </w:t>
      </w:r>
      <w:r w:rsidRPr="00BF5CA7">
        <w:rPr>
          <w:rFonts w:ascii="Calibri" w:hAnsi="Calibri"/>
          <w:color w:val="7F7F7F" w:themeColor="text1" w:themeTint="80"/>
          <w:sz w:val="26"/>
          <w:szCs w:val="26"/>
        </w:rPr>
        <w:t>del acta de visita de inspección</w:t>
      </w:r>
      <w:r w:rsidR="00D22BF3">
        <w:rPr>
          <w:rFonts w:ascii="Calibri" w:hAnsi="Calibri"/>
          <w:color w:val="7F7F7F" w:themeColor="text1" w:themeTint="80"/>
          <w:sz w:val="26"/>
          <w:szCs w:val="26"/>
        </w:rPr>
        <w:t>; d</w:t>
      </w:r>
      <w:r w:rsidRPr="00BF5CA7">
        <w:rPr>
          <w:rFonts w:ascii="Calibri" w:hAnsi="Calibri"/>
          <w:color w:val="7F7F7F" w:themeColor="text1" w:themeTint="80"/>
          <w:sz w:val="26"/>
          <w:szCs w:val="26"/>
        </w:rPr>
        <w:t>e la orden de clausura</w:t>
      </w:r>
      <w:r w:rsidR="00D22BF3">
        <w:rPr>
          <w:rFonts w:ascii="Calibri" w:hAnsi="Calibri"/>
          <w:color w:val="7F7F7F" w:themeColor="text1" w:themeTint="80"/>
          <w:sz w:val="26"/>
          <w:szCs w:val="26"/>
        </w:rPr>
        <w:t>; y</w:t>
      </w:r>
      <w:r w:rsidR="004655C3">
        <w:rPr>
          <w:rFonts w:ascii="Calibri" w:hAnsi="Calibri"/>
          <w:color w:val="7F7F7F" w:themeColor="text1" w:themeTint="80"/>
          <w:sz w:val="26"/>
          <w:szCs w:val="26"/>
        </w:rPr>
        <w:t xml:space="preserve">, </w:t>
      </w:r>
      <w:r w:rsidR="00D22BF3">
        <w:rPr>
          <w:rFonts w:ascii="Calibri" w:hAnsi="Calibri"/>
          <w:color w:val="7F7F7F" w:themeColor="text1" w:themeTint="80"/>
          <w:sz w:val="26"/>
          <w:szCs w:val="26"/>
        </w:rPr>
        <w:t xml:space="preserve">del acta circunstanciada de fijación de sellos. Documentos </w:t>
      </w:r>
      <w:r w:rsidR="000022A1">
        <w:rPr>
          <w:rFonts w:ascii="Calibri" w:hAnsi="Calibri"/>
          <w:color w:val="7F7F7F" w:themeColor="text1" w:themeTint="80"/>
          <w:sz w:val="26"/>
          <w:szCs w:val="26"/>
        </w:rPr>
        <w:t xml:space="preserve">todos de </w:t>
      </w:r>
      <w:r w:rsidR="000022A1">
        <w:rPr>
          <w:rFonts w:ascii="Calibri" w:hAnsi="Calibri" w:cs="Calibri"/>
          <w:color w:val="7F7F7F" w:themeColor="text1" w:themeTint="80"/>
          <w:sz w:val="26"/>
          <w:szCs w:val="26"/>
        </w:rPr>
        <w:t xml:space="preserve">fecha </w:t>
      </w:r>
      <w:r w:rsidR="002C2B92">
        <w:rPr>
          <w:rFonts w:ascii="Calibri" w:hAnsi="Calibri" w:cs="Calibri"/>
          <w:color w:val="7F7F7F" w:themeColor="text1" w:themeTint="80"/>
          <w:sz w:val="26"/>
          <w:szCs w:val="26"/>
        </w:rPr>
        <w:t>21 veintiuno de mayo</w:t>
      </w:r>
      <w:r w:rsidR="000022A1">
        <w:rPr>
          <w:rFonts w:ascii="Calibri" w:hAnsi="Calibri" w:cs="Calibri"/>
          <w:color w:val="7F7F7F" w:themeColor="text1" w:themeTint="80"/>
          <w:sz w:val="26"/>
          <w:szCs w:val="26"/>
        </w:rPr>
        <w:t xml:space="preserve"> del 2015 dos mil quince</w:t>
      </w:r>
      <w:r w:rsidR="00E31BEB">
        <w:rPr>
          <w:rFonts w:ascii="Calibri" w:hAnsi="Calibri" w:cs="Calibri"/>
          <w:color w:val="7F7F7F" w:themeColor="text1" w:themeTint="80"/>
          <w:sz w:val="26"/>
          <w:szCs w:val="26"/>
        </w:rPr>
        <w:t>,</w:t>
      </w:r>
      <w:r w:rsidR="000022A1">
        <w:rPr>
          <w:rFonts w:ascii="Calibri" w:hAnsi="Calibri"/>
          <w:color w:val="7F7F7F" w:themeColor="text1" w:themeTint="80"/>
          <w:sz w:val="26"/>
          <w:szCs w:val="26"/>
        </w:rPr>
        <w:t xml:space="preserve"> y </w:t>
      </w:r>
      <w:r w:rsidR="00116B5A">
        <w:rPr>
          <w:rFonts w:ascii="Calibri" w:hAnsi="Calibri"/>
          <w:color w:val="7F7F7F" w:themeColor="text1" w:themeTint="80"/>
          <w:sz w:val="26"/>
          <w:szCs w:val="26"/>
        </w:rPr>
        <w:t>que,</w:t>
      </w:r>
      <w:r w:rsidRPr="00BF5CA7">
        <w:rPr>
          <w:rFonts w:ascii="Calibri" w:hAnsi="Calibri"/>
          <w:color w:val="7F7F7F" w:themeColor="text1" w:themeTint="80"/>
          <w:sz w:val="26"/>
          <w:szCs w:val="26"/>
        </w:rPr>
        <w:t xml:space="preserve"> aportados por </w:t>
      </w:r>
      <w:r w:rsidR="00216FD3">
        <w:rPr>
          <w:rFonts w:ascii="Calibri" w:hAnsi="Calibri"/>
          <w:color w:val="7F7F7F" w:themeColor="text1" w:themeTint="80"/>
          <w:sz w:val="26"/>
          <w:szCs w:val="26"/>
        </w:rPr>
        <w:t>el actor</w:t>
      </w:r>
      <w:r w:rsidRPr="00BF5CA7">
        <w:rPr>
          <w:rFonts w:ascii="Calibri" w:hAnsi="Calibri"/>
          <w:color w:val="7F7F7F" w:themeColor="text1" w:themeTint="80"/>
          <w:sz w:val="26"/>
          <w:szCs w:val="26"/>
        </w:rPr>
        <w:t>, f</w:t>
      </w:r>
      <w:r w:rsidRPr="00BF5CA7">
        <w:rPr>
          <w:rFonts w:ascii="Calibri" w:hAnsi="Calibri" w:cs="Calibri"/>
          <w:color w:val="7F7F7F" w:themeColor="text1" w:themeTint="80"/>
          <w:sz w:val="26"/>
          <w:szCs w:val="26"/>
        </w:rPr>
        <w:t xml:space="preserve">ueron admitidos como pruebas </w:t>
      </w:r>
      <w:r w:rsidR="000022A1">
        <w:rPr>
          <w:rFonts w:ascii="Calibri" w:hAnsi="Calibri" w:cs="Calibri"/>
          <w:color w:val="7F7F7F" w:themeColor="text1" w:themeTint="80"/>
          <w:sz w:val="26"/>
          <w:szCs w:val="26"/>
        </w:rPr>
        <w:t xml:space="preserve">a las partes, obrando </w:t>
      </w:r>
      <w:r w:rsidRPr="00BF5CA7">
        <w:rPr>
          <w:rFonts w:ascii="Calibri" w:hAnsi="Calibri" w:cs="Calibri"/>
          <w:color w:val="7F7F7F" w:themeColor="text1" w:themeTint="80"/>
          <w:sz w:val="26"/>
          <w:szCs w:val="26"/>
        </w:rPr>
        <w:t>en el secreto de este Juzgado</w:t>
      </w:r>
      <w:r w:rsidRPr="00BF5CA7">
        <w:rPr>
          <w:rFonts w:ascii="Calibri" w:hAnsi="Calibri"/>
          <w:color w:val="7F7F7F" w:themeColor="text1" w:themeTint="80"/>
          <w:sz w:val="26"/>
          <w:szCs w:val="26"/>
        </w:rPr>
        <w:t xml:space="preserve"> (</w:t>
      </w:r>
      <w:r w:rsidRPr="00BF5CA7">
        <w:rPr>
          <w:rFonts w:ascii="Calibri" w:hAnsi="Calibri" w:cs="Calibri"/>
          <w:color w:val="7F7F7F" w:themeColor="text1" w:themeTint="80"/>
          <w:sz w:val="26"/>
          <w:szCs w:val="26"/>
        </w:rPr>
        <w:t xml:space="preserve">visibles en el expediente, en copias certificadas, a fojas </w:t>
      </w:r>
      <w:r w:rsidR="00A107AD">
        <w:rPr>
          <w:rFonts w:ascii="Calibri" w:hAnsi="Calibri" w:cs="Calibri"/>
          <w:color w:val="7F7F7F" w:themeColor="text1" w:themeTint="80"/>
          <w:sz w:val="26"/>
          <w:szCs w:val="26"/>
        </w:rPr>
        <w:t>4 cuatro</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sidR="00A107AD">
        <w:rPr>
          <w:rFonts w:ascii="Calibri" w:hAnsi="Calibri" w:cs="Calibri"/>
          <w:color w:val="7F7F7F" w:themeColor="text1" w:themeTint="80"/>
          <w:sz w:val="26"/>
          <w:szCs w:val="26"/>
        </w:rPr>
        <w:t>0</w:t>
      </w:r>
      <w:r w:rsidR="000022A1">
        <w:rPr>
          <w:rFonts w:ascii="Calibri" w:hAnsi="Calibri" w:cs="Calibri"/>
          <w:color w:val="7F7F7F" w:themeColor="text1" w:themeTint="80"/>
          <w:sz w:val="26"/>
          <w:szCs w:val="26"/>
        </w:rPr>
        <w:t xml:space="preserve"> </w:t>
      </w:r>
      <w:r w:rsidR="00E31BEB">
        <w:rPr>
          <w:rFonts w:ascii="Calibri" w:hAnsi="Calibri" w:cs="Calibri"/>
          <w:color w:val="7F7F7F" w:themeColor="text1" w:themeTint="80"/>
          <w:sz w:val="26"/>
          <w:szCs w:val="26"/>
        </w:rPr>
        <w:t>d</w:t>
      </w:r>
      <w:r w:rsidR="00A107AD">
        <w:rPr>
          <w:rFonts w:ascii="Calibri" w:hAnsi="Calibri" w:cs="Calibri"/>
          <w:color w:val="7F7F7F" w:themeColor="text1" w:themeTint="80"/>
          <w:sz w:val="26"/>
          <w:szCs w:val="26"/>
        </w:rPr>
        <w:t>iez</w:t>
      </w:r>
      <w:r w:rsidRPr="00BF5CA7">
        <w:rPr>
          <w:rFonts w:ascii="Calibri" w:hAnsi="Calibri" w:cs="Calibri"/>
          <w:color w:val="7F7F7F" w:themeColor="text1" w:themeTint="80"/>
          <w:sz w:val="26"/>
          <w:szCs w:val="26"/>
        </w:rPr>
        <w:t xml:space="preserve">); los cuales </w:t>
      </w:r>
      <w:r w:rsidRPr="00BF5CA7">
        <w:rPr>
          <w:rFonts w:ascii="Calibri" w:hAnsi="Calibri"/>
          <w:color w:val="7F7F7F" w:themeColor="text1" w:themeTint="80"/>
          <w:sz w:val="26"/>
          <w:szCs w:val="26"/>
        </w:rPr>
        <w:t xml:space="preserve">merecen pleno valor probatorio, conforme lo dispuesto en los artículos 78, </w:t>
      </w:r>
    </w:p>
    <w:p w:rsidR="00116B5A" w:rsidRDefault="00116B5A" w:rsidP="00116B5A">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538/2015-JN</w:t>
      </w:r>
    </w:p>
    <w:p w:rsidR="00116B5A" w:rsidRDefault="00116B5A" w:rsidP="00116B5A">
      <w:pPr>
        <w:ind w:firstLine="708"/>
        <w:jc w:val="both"/>
        <w:rPr>
          <w:rFonts w:ascii="Calibri" w:hAnsi="Calibri"/>
          <w:color w:val="7F7F7F" w:themeColor="text1" w:themeTint="80"/>
          <w:sz w:val="26"/>
          <w:szCs w:val="26"/>
        </w:rPr>
      </w:pPr>
    </w:p>
    <w:p w:rsidR="004B3DFC" w:rsidRPr="004655C3" w:rsidRDefault="004B3DFC" w:rsidP="00116B5A">
      <w:pPr>
        <w:jc w:val="both"/>
        <w:rPr>
          <w:rFonts w:ascii="Calibri" w:hAnsi="Calibri"/>
          <w:color w:val="7F7F7F" w:themeColor="text1" w:themeTint="80"/>
          <w:sz w:val="26"/>
          <w:szCs w:val="26"/>
        </w:rPr>
      </w:pPr>
      <w:r w:rsidRPr="00BF5CA7">
        <w:rPr>
          <w:rFonts w:ascii="Calibri" w:hAnsi="Calibri"/>
          <w:color w:val="7F7F7F" w:themeColor="text1" w:themeTint="80"/>
          <w:sz w:val="26"/>
          <w:szCs w:val="26"/>
        </w:rPr>
        <w:t>117, 118, 121 y 131 del Código de Procedimiento y Justicia Administrativa para el Estado y los Municipios de Guanajuato; toda vez que constituyen documentos públicos emitidos por servidores públicos en el ejercicio de sus atribuciones</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 xml:space="preserve">aunada la circunstancia de que el </w:t>
      </w:r>
      <w:r w:rsidR="00E54AA9">
        <w:rPr>
          <w:rFonts w:ascii="Calibri" w:hAnsi="Calibri"/>
          <w:color w:val="7F7F7F" w:themeColor="text1" w:themeTint="80"/>
          <w:sz w:val="26"/>
          <w:szCs w:val="26"/>
        </w:rPr>
        <w:t>Director General de Fiscalización y Control</w:t>
      </w:r>
      <w:r w:rsidR="00E54AA9" w:rsidRPr="00E54AA9">
        <w:rPr>
          <w:rFonts w:ascii="Calibri" w:hAnsi="Calibri"/>
          <w:color w:val="7F7F7F" w:themeColor="text1" w:themeTint="80"/>
          <w:sz w:val="26"/>
          <w:szCs w:val="26"/>
        </w:rPr>
        <w:t xml:space="preserve"> enjuiciado, al contestar la demanda, al referirse a los hechos, </w:t>
      </w:r>
      <w:r w:rsidR="00E54AA9" w:rsidRPr="00E54AA9">
        <w:rPr>
          <w:rFonts w:ascii="Calibri" w:hAnsi="Calibri"/>
          <w:b/>
          <w:color w:val="7F7F7F" w:themeColor="text1" w:themeTint="80"/>
          <w:sz w:val="26"/>
          <w:szCs w:val="26"/>
        </w:rPr>
        <w:t>reconoció</w:t>
      </w:r>
      <w:r w:rsidR="00E54AA9" w:rsidRPr="00E54AA9">
        <w:rPr>
          <w:rFonts w:ascii="Calibri" w:hAnsi="Calibri"/>
          <w:color w:val="7F7F7F" w:themeColor="text1" w:themeTint="80"/>
          <w:sz w:val="26"/>
          <w:szCs w:val="26"/>
        </w:rPr>
        <w:t xml:space="preserve"> </w:t>
      </w:r>
      <w:r w:rsidR="004655C3" w:rsidRPr="004655C3">
        <w:rPr>
          <w:rFonts w:ascii="Calibri" w:hAnsi="Calibri"/>
          <w:color w:val="7F7F7F" w:themeColor="text1" w:themeTint="80"/>
          <w:sz w:val="26"/>
          <w:szCs w:val="26"/>
        </w:rPr>
        <w:t>haber emitido la orden de visita de inspección que se impugna</w:t>
      </w:r>
      <w:r w:rsidR="00E54AA9" w:rsidRPr="00E54AA9">
        <w:rPr>
          <w:rFonts w:ascii="Calibri" w:hAnsi="Calibri"/>
          <w:color w:val="7F7F7F" w:themeColor="text1" w:themeTint="80"/>
          <w:sz w:val="26"/>
          <w:szCs w:val="26"/>
        </w:rPr>
        <w:t xml:space="preserve">, lo que, en los términos del primer párrafo del artículo 57 del Código de Procedimiento y Justicia Administrativa vigente en el Estado, constituye una </w:t>
      </w:r>
      <w:r w:rsidR="00E54AA9" w:rsidRPr="00E54AA9">
        <w:rPr>
          <w:rFonts w:ascii="Calibri" w:hAnsi="Calibri"/>
          <w:b/>
          <w:color w:val="7F7F7F" w:themeColor="text1" w:themeTint="80"/>
          <w:sz w:val="26"/>
          <w:szCs w:val="26"/>
        </w:rPr>
        <w:t>confesión expresa</w:t>
      </w:r>
      <w:r w:rsidR="00E54AA9" w:rsidRPr="00E54AA9">
        <w:rPr>
          <w:rFonts w:ascii="Calibri" w:hAnsi="Calibri"/>
          <w:color w:val="7F7F7F" w:themeColor="text1" w:themeTint="80"/>
          <w:sz w:val="26"/>
          <w:szCs w:val="26"/>
        </w:rPr>
        <w:t xml:space="preserve">, que hace </w:t>
      </w:r>
      <w:r w:rsidR="00E54AA9" w:rsidRPr="00E54AA9">
        <w:rPr>
          <w:rFonts w:ascii="Calibri" w:hAnsi="Calibri"/>
          <w:b/>
          <w:color w:val="7F7F7F" w:themeColor="text1" w:themeTint="80"/>
          <w:sz w:val="26"/>
          <w:szCs w:val="26"/>
        </w:rPr>
        <w:t>prueba plena</w:t>
      </w:r>
      <w:r w:rsidR="00E54AA9" w:rsidRPr="00E54AA9">
        <w:rPr>
          <w:rFonts w:ascii="Calibri" w:hAnsi="Calibri"/>
          <w:color w:val="7F7F7F" w:themeColor="text1" w:themeTint="80"/>
          <w:sz w:val="26"/>
          <w:szCs w:val="26"/>
        </w:rPr>
        <w:t>, al concurrir las circunstancias que se citan en las fracciones I, II y III del artículo 118 del mencionado Código</w:t>
      </w:r>
      <w:r w:rsidRPr="00BF5CA7">
        <w:rPr>
          <w:rFonts w:ascii="Calibri" w:hAnsi="Calibri"/>
          <w:color w:val="7F7F7F" w:themeColor="text1" w:themeTint="80"/>
          <w:sz w:val="26"/>
          <w:szCs w:val="26"/>
        </w:rPr>
        <w:t xml:space="preserve"> . . . . . </w:t>
      </w:r>
      <w:r w:rsidR="00684D24">
        <w:rPr>
          <w:rFonts w:ascii="Calibri" w:hAnsi="Calibri"/>
          <w:color w:val="7F7F7F" w:themeColor="text1" w:themeTint="80"/>
          <w:sz w:val="26"/>
          <w:szCs w:val="26"/>
        </w:rPr>
        <w:t xml:space="preserve">. . . . . . . . . . . . . . . . . . . . . . . . . . . . . . </w:t>
      </w:r>
    </w:p>
    <w:p w:rsidR="004B3DFC" w:rsidRPr="00BF5CA7" w:rsidRDefault="004B3DFC" w:rsidP="004B3DFC">
      <w:pPr>
        <w:ind w:firstLine="708"/>
        <w:jc w:val="both"/>
        <w:rPr>
          <w:rFonts w:ascii="Calibri" w:hAnsi="Calibri"/>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 . . . </w:t>
      </w:r>
      <w:r w:rsidRPr="00BF5CA7">
        <w:rPr>
          <w:rFonts w:ascii="Calibri" w:hAnsi="Calibri"/>
          <w:color w:val="7F7F7F" w:themeColor="text1" w:themeTint="80"/>
          <w:sz w:val="26"/>
          <w:szCs w:val="26"/>
        </w:rPr>
        <w:t xml:space="preserve">. . . . . . . . . . . . . . . . . . . . . . . . . . . . . . . . . . . . . . . . . . . . </w:t>
      </w:r>
      <w:r w:rsidR="0027508E">
        <w:rPr>
          <w:rFonts w:ascii="Calibri" w:hAnsi="Calibri"/>
          <w:color w:val="7F7F7F" w:themeColor="text1" w:themeTint="80"/>
          <w:sz w:val="26"/>
          <w:szCs w:val="26"/>
        </w:rPr>
        <w:t>.</w:t>
      </w:r>
    </w:p>
    <w:p w:rsidR="004B3DFC" w:rsidRPr="00BF5CA7" w:rsidRDefault="004B3DFC" w:rsidP="004B3DFC">
      <w:pPr>
        <w:jc w:val="both"/>
        <w:rPr>
          <w:rFonts w:ascii="Calibri" w:hAnsi="Calibri"/>
          <w:color w:val="7F7F7F" w:themeColor="text1" w:themeTint="80"/>
          <w:sz w:val="22"/>
          <w:szCs w:val="26"/>
        </w:rPr>
      </w:pPr>
    </w:p>
    <w:p w:rsidR="004B3DFC" w:rsidRDefault="004B3DFC" w:rsidP="004B3DFC">
      <w:pPr>
        <w:ind w:firstLine="708"/>
        <w:jc w:val="both"/>
        <w:rPr>
          <w:rFonts w:ascii="Calibri" w:hAnsi="Calibri"/>
          <w:bCs/>
          <w:iCs/>
          <w:color w:val="7F7F7F" w:themeColor="text1" w:themeTint="80"/>
          <w:sz w:val="26"/>
          <w:szCs w:val="26"/>
        </w:rPr>
      </w:pPr>
      <w:r w:rsidRPr="00BF5CA7">
        <w:rPr>
          <w:rFonts w:ascii="Calibri" w:hAnsi="Calibri"/>
          <w:b/>
          <w:bCs/>
          <w:i/>
          <w:iCs/>
          <w:color w:val="7F7F7F" w:themeColor="text1" w:themeTint="80"/>
          <w:sz w:val="26"/>
          <w:szCs w:val="26"/>
        </w:rPr>
        <w:t xml:space="preserve">CUARTO.- </w:t>
      </w:r>
      <w:r w:rsidRPr="00BF5CA7">
        <w:rPr>
          <w:rFonts w:ascii="Calibri" w:hAnsi="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w:t>
      </w:r>
      <w:r w:rsidRPr="00BF5CA7">
        <w:rPr>
          <w:rFonts w:ascii="Calibri" w:hAnsi="Calibri"/>
          <w:bCs/>
          <w:iCs/>
          <w:color w:val="7F7F7F" w:themeColor="text1" w:themeTint="80"/>
          <w:sz w:val="26"/>
          <w:szCs w:val="26"/>
        </w:rPr>
        <w:lastRenderedPageBreak/>
        <w:t>y Justicia Administrativa  para el Estado y los Municipios de  Guanajuato; ya que de actualizarse alguna, podría imposibilitar el pronunciamiento por parte de este órgano jurisdiccional sobre el fondo de la controversia planteada. . . . . . . . . . . . . .</w:t>
      </w:r>
      <w:r w:rsidR="0027508E">
        <w:rPr>
          <w:rFonts w:ascii="Calibri" w:hAnsi="Calibri"/>
          <w:bCs/>
          <w:iCs/>
          <w:color w:val="7F7F7F" w:themeColor="text1" w:themeTint="80"/>
          <w:sz w:val="26"/>
          <w:szCs w:val="26"/>
        </w:rPr>
        <w:t xml:space="preserve"> .</w:t>
      </w:r>
    </w:p>
    <w:p w:rsidR="00E50512" w:rsidRDefault="00E50512" w:rsidP="004B3DFC">
      <w:pPr>
        <w:ind w:firstLine="708"/>
        <w:jc w:val="both"/>
        <w:rPr>
          <w:rFonts w:ascii="Calibri" w:hAnsi="Calibri"/>
          <w:bCs/>
          <w:iCs/>
          <w:color w:val="7F7F7F" w:themeColor="text1" w:themeTint="80"/>
          <w:sz w:val="26"/>
          <w:szCs w:val="26"/>
        </w:rPr>
      </w:pPr>
    </w:p>
    <w:p w:rsidR="00781737" w:rsidRPr="00781737"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Asentado lo anterior, se advierte que en el presente proceso, el Director General de Fiscalización y Control e Inspector demandados, exteriorizaron que el proceso es improcedente; aduciendo que se actualiza las causales previstas en el artículo 261, en sus fracciones I y VII, esta última concatenada con el artículo 251, del Código de Procedimiento y Justicia Administrativa antes citado; al referir, grosso modo, que no se afect</w:t>
      </w:r>
      <w:r w:rsidR="00105035">
        <w:rPr>
          <w:rFonts w:ascii="Calibri" w:hAnsi="Calibri"/>
          <w:bCs/>
          <w:iCs/>
          <w:color w:val="7F7F7F" w:themeColor="text1" w:themeTint="80"/>
          <w:sz w:val="26"/>
          <w:szCs w:val="26"/>
        </w:rPr>
        <w:t>a el interés jurídico de</w:t>
      </w:r>
      <w:r w:rsidR="00792CFC">
        <w:rPr>
          <w:rFonts w:ascii="Calibri" w:hAnsi="Calibri"/>
          <w:bCs/>
          <w:iCs/>
          <w:color w:val="7F7F7F" w:themeColor="text1" w:themeTint="80"/>
          <w:sz w:val="26"/>
          <w:szCs w:val="26"/>
        </w:rPr>
        <w:t>l</w:t>
      </w:r>
      <w:r w:rsidRPr="00781737">
        <w:rPr>
          <w:rFonts w:ascii="Calibri" w:hAnsi="Calibri"/>
          <w:bCs/>
          <w:iCs/>
          <w:color w:val="7F7F7F" w:themeColor="text1" w:themeTint="80"/>
          <w:sz w:val="26"/>
          <w:szCs w:val="26"/>
        </w:rPr>
        <w:t xml:space="preserve"> impetrante, toda vez que no demuestra ser titular de un derecho subjetivo y que no le asiste ningún derecho que haya sido vulnerado . . . . . . . . . . . . . . . . . . . . . . . . . . . . . . . . . . </w:t>
      </w:r>
      <w:r w:rsidR="000E64C5">
        <w:rPr>
          <w:rFonts w:ascii="Calibri" w:hAnsi="Calibri"/>
          <w:bCs/>
          <w:iCs/>
          <w:color w:val="7F7F7F" w:themeColor="text1" w:themeTint="80"/>
          <w:sz w:val="26"/>
          <w:szCs w:val="26"/>
        </w:rPr>
        <w:t xml:space="preserve">. . . . . . . . . . . . . . </w:t>
      </w:r>
    </w:p>
    <w:p w:rsidR="00781737" w:rsidRPr="00781737" w:rsidRDefault="00781737" w:rsidP="00781737">
      <w:pPr>
        <w:ind w:firstLine="708"/>
        <w:jc w:val="both"/>
        <w:rPr>
          <w:rFonts w:ascii="Calibri" w:hAnsi="Calibri"/>
          <w:bCs/>
          <w:iCs/>
          <w:color w:val="7F7F7F" w:themeColor="text1" w:themeTint="80"/>
          <w:sz w:val="26"/>
          <w:szCs w:val="26"/>
        </w:rPr>
      </w:pPr>
    </w:p>
    <w:p w:rsidR="00E50512"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Causales de improcedencia que, para quien resuelve, </w:t>
      </w:r>
      <w:r w:rsidRPr="00781737">
        <w:rPr>
          <w:rFonts w:ascii="Calibri" w:hAnsi="Calibri"/>
          <w:b/>
          <w:bCs/>
          <w:iCs/>
          <w:color w:val="7F7F7F" w:themeColor="text1" w:themeTint="80"/>
          <w:sz w:val="26"/>
          <w:szCs w:val="26"/>
        </w:rPr>
        <w:t>no se actualizan</w:t>
      </w:r>
      <w:r w:rsidRPr="00781737">
        <w:rPr>
          <w:rFonts w:ascii="Calibri" w:hAnsi="Calibri"/>
          <w:bCs/>
          <w:iCs/>
          <w:color w:val="7F7F7F" w:themeColor="text1" w:themeTint="80"/>
          <w:sz w:val="26"/>
          <w:szCs w:val="26"/>
        </w:rPr>
        <w:t xml:space="preserve">; pues </w:t>
      </w:r>
      <w:r w:rsidRPr="00781737">
        <w:rPr>
          <w:rFonts w:ascii="Calibri" w:hAnsi="Calibri"/>
          <w:b/>
          <w:bCs/>
          <w:iCs/>
          <w:color w:val="7F7F7F" w:themeColor="text1" w:themeTint="80"/>
          <w:sz w:val="26"/>
          <w:szCs w:val="26"/>
        </w:rPr>
        <w:t>sí se afectan</w:t>
      </w:r>
      <w:r w:rsidRPr="00781737">
        <w:rPr>
          <w:rFonts w:ascii="Calibri" w:hAnsi="Calibri"/>
          <w:bCs/>
          <w:iCs/>
          <w:color w:val="7F7F7F" w:themeColor="text1" w:themeTint="80"/>
          <w:sz w:val="26"/>
          <w:szCs w:val="26"/>
        </w:rPr>
        <w:t xml:space="preserve"> los intereses jurídicos de</w:t>
      </w:r>
      <w:r w:rsidR="00792CFC">
        <w:rPr>
          <w:rFonts w:ascii="Calibri" w:hAnsi="Calibri"/>
          <w:bCs/>
          <w:iCs/>
          <w:color w:val="7F7F7F" w:themeColor="text1" w:themeTint="80"/>
          <w:sz w:val="26"/>
          <w:szCs w:val="26"/>
        </w:rPr>
        <w:t>l</w:t>
      </w:r>
      <w:r w:rsidRPr="00781737">
        <w:rPr>
          <w:rFonts w:ascii="Calibri" w:hAnsi="Calibri"/>
          <w:bCs/>
          <w:iCs/>
          <w:color w:val="7F7F7F" w:themeColor="text1" w:themeTint="80"/>
          <w:sz w:val="26"/>
          <w:szCs w:val="26"/>
        </w:rPr>
        <w:t xml:space="preserve"> impetrante; toda vez que se instauró en su contra, por la Dirección General de Fiscalización y Control, el procedimiento administrativo número DGFC/DT/</w:t>
      </w:r>
      <w:r w:rsidR="002C2B92">
        <w:rPr>
          <w:rFonts w:ascii="Calibri" w:hAnsi="Calibri"/>
          <w:bCs/>
          <w:iCs/>
          <w:color w:val="7F7F7F" w:themeColor="text1" w:themeTint="80"/>
          <w:sz w:val="26"/>
          <w:szCs w:val="26"/>
        </w:rPr>
        <w:t>0291</w:t>
      </w:r>
      <w:r w:rsidRPr="00781737">
        <w:rPr>
          <w:rFonts w:ascii="Calibri" w:hAnsi="Calibri"/>
          <w:bCs/>
          <w:iCs/>
          <w:color w:val="7F7F7F" w:themeColor="text1" w:themeTint="80"/>
          <w:sz w:val="26"/>
          <w:szCs w:val="26"/>
        </w:rPr>
        <w:t xml:space="preserve">/2015/JA, </w:t>
      </w:r>
      <w:r w:rsidR="00105035" w:rsidRPr="00105035">
        <w:rPr>
          <w:rFonts w:ascii="Calibri" w:hAnsi="Calibri"/>
          <w:bCs/>
          <w:iCs/>
          <w:color w:val="7F7F7F" w:themeColor="text1" w:themeTint="80"/>
          <w:sz w:val="26"/>
          <w:szCs w:val="26"/>
        </w:rPr>
        <w:t xml:space="preserve">mismo en el que, </w:t>
      </w:r>
      <w:r w:rsidR="000678C4">
        <w:rPr>
          <w:rFonts w:ascii="Calibri" w:hAnsi="Calibri"/>
          <w:bCs/>
          <w:iCs/>
          <w:color w:val="7F7F7F" w:themeColor="text1" w:themeTint="80"/>
          <w:sz w:val="26"/>
          <w:szCs w:val="26"/>
        </w:rPr>
        <w:t xml:space="preserve"> </w:t>
      </w:r>
      <w:r w:rsidR="000678C4" w:rsidRPr="000678C4">
        <w:rPr>
          <w:rFonts w:ascii="Calibri" w:hAnsi="Calibri"/>
          <w:bCs/>
          <w:iCs/>
          <w:color w:val="7F7F7F" w:themeColor="text1" w:themeTint="80"/>
          <w:sz w:val="26"/>
          <w:szCs w:val="26"/>
        </w:rPr>
        <w:t>eventualmente, se le podría imponer una sanción</w:t>
      </w:r>
      <w:r w:rsidR="00105035" w:rsidRPr="00105035">
        <w:rPr>
          <w:rFonts w:ascii="Calibri" w:hAnsi="Calibri"/>
          <w:bCs/>
          <w:iCs/>
          <w:color w:val="7F7F7F" w:themeColor="text1" w:themeTint="80"/>
          <w:sz w:val="26"/>
          <w:szCs w:val="26"/>
        </w:rPr>
        <w:t>, además de que se clausuró una máquina de juegos de azar que se encontraba al interior del establecimiento visitado, lo que sí afecta la esfera de derechos de</w:t>
      </w:r>
      <w:r w:rsidR="00105035">
        <w:rPr>
          <w:rFonts w:ascii="Calibri" w:hAnsi="Calibri"/>
          <w:bCs/>
          <w:iCs/>
          <w:color w:val="7F7F7F" w:themeColor="text1" w:themeTint="80"/>
          <w:sz w:val="26"/>
          <w:szCs w:val="26"/>
        </w:rPr>
        <w:t>l actor</w:t>
      </w:r>
      <w:r w:rsidR="00105035" w:rsidRPr="00105035">
        <w:rPr>
          <w:rFonts w:ascii="Calibri" w:hAnsi="Calibri"/>
          <w:bCs/>
          <w:iCs/>
          <w:color w:val="7F7F7F" w:themeColor="text1" w:themeTint="80"/>
          <w:sz w:val="26"/>
          <w:szCs w:val="26"/>
        </w:rPr>
        <w:t>, sobre todo porque se considera que pudiera existir violación al derecho humano al debido proceso; por lo que al no prosperar las causales de improcedencia señaladas, ésta sí se encuentra legitimada para promover el proceso que nos ocupa</w:t>
      </w:r>
      <w:r w:rsidRPr="00781737">
        <w:rPr>
          <w:rFonts w:ascii="Calibri" w:hAnsi="Calibri"/>
          <w:bCs/>
          <w:iCs/>
          <w:color w:val="7F7F7F" w:themeColor="text1" w:themeTint="80"/>
          <w:sz w:val="26"/>
          <w:szCs w:val="26"/>
        </w:rPr>
        <w:t>. . . . . . . . . . . . . . . .</w:t>
      </w:r>
    </w:p>
    <w:p w:rsidR="00781737" w:rsidRDefault="00781737" w:rsidP="00781737">
      <w:pPr>
        <w:ind w:firstLine="708"/>
        <w:jc w:val="both"/>
        <w:rPr>
          <w:rFonts w:ascii="Calibri" w:hAnsi="Calibri"/>
          <w:bCs/>
          <w:iCs/>
          <w:color w:val="000000" w:themeColor="text1"/>
          <w:sz w:val="26"/>
          <w:szCs w:val="26"/>
        </w:rPr>
      </w:pPr>
    </w:p>
    <w:p w:rsidR="00E50512" w:rsidRPr="00E50512" w:rsidRDefault="00E50512" w:rsidP="00E50512">
      <w:pPr>
        <w:ind w:firstLine="708"/>
        <w:jc w:val="both"/>
        <w:rPr>
          <w:rFonts w:ascii="Calibri" w:hAnsi="Calibri"/>
          <w:bCs/>
          <w:iCs/>
          <w:color w:val="7F7F7F" w:themeColor="text1" w:themeTint="80"/>
          <w:sz w:val="26"/>
          <w:szCs w:val="26"/>
        </w:rPr>
      </w:pPr>
      <w:r w:rsidRPr="00E50512">
        <w:rPr>
          <w:rFonts w:ascii="Calibri" w:hAnsi="Calibri"/>
          <w:bCs/>
          <w:iCs/>
          <w:color w:val="7F7F7F" w:themeColor="text1" w:themeTint="80"/>
          <w:sz w:val="26"/>
          <w:szCs w:val="26"/>
        </w:rPr>
        <w:t xml:space="preserve">Continuando con el análisis de las causales de improcedencia o sobreseimiento, de manera oficiosa, este Juzgador </w:t>
      </w:r>
      <w:r w:rsidRPr="00E50512">
        <w:rPr>
          <w:rFonts w:ascii="Calibri" w:hAnsi="Calibri"/>
          <w:b/>
          <w:bCs/>
          <w:iCs/>
          <w:color w:val="7F7F7F" w:themeColor="text1" w:themeTint="80"/>
          <w:sz w:val="26"/>
          <w:szCs w:val="26"/>
        </w:rPr>
        <w:t>no percibe</w:t>
      </w:r>
      <w:r w:rsidRPr="00E50512">
        <w:rPr>
          <w:rFonts w:ascii="Calibri" w:hAnsi="Calibri"/>
          <w:bCs/>
          <w:iCs/>
          <w:color w:val="7F7F7F" w:themeColor="text1" w:themeTint="80"/>
          <w:sz w:val="26"/>
          <w:szCs w:val="26"/>
        </w:rPr>
        <w:t xml:space="preserve"> la actualización de alguna que impida el estudio de fondo de la presente causa administrativa, respecto de los actos impugnados consistentes en la orden</w:t>
      </w:r>
      <w:r>
        <w:rPr>
          <w:rFonts w:ascii="Calibri" w:hAnsi="Calibri"/>
          <w:bCs/>
          <w:iCs/>
          <w:color w:val="7F7F7F" w:themeColor="text1" w:themeTint="80"/>
          <w:sz w:val="26"/>
          <w:szCs w:val="26"/>
        </w:rPr>
        <w:t xml:space="preserve"> de visita de inspección</w:t>
      </w:r>
      <w:r w:rsidRPr="00E50512">
        <w:rPr>
          <w:rFonts w:ascii="Calibri" w:hAnsi="Calibri"/>
          <w:bCs/>
          <w:iCs/>
          <w:color w:val="7F7F7F" w:themeColor="text1" w:themeTint="80"/>
          <w:sz w:val="26"/>
          <w:szCs w:val="26"/>
        </w:rPr>
        <w:t>, el acta de visita de inspección, la orden de clausura y</w:t>
      </w:r>
      <w:r>
        <w:rPr>
          <w:rFonts w:ascii="Calibri" w:hAnsi="Calibri"/>
          <w:bCs/>
          <w:iCs/>
          <w:color w:val="7F7F7F" w:themeColor="text1" w:themeTint="80"/>
          <w:sz w:val="26"/>
          <w:szCs w:val="26"/>
        </w:rPr>
        <w:t>,</w:t>
      </w:r>
      <w:r w:rsidRPr="00E50512">
        <w:rPr>
          <w:rFonts w:ascii="Calibri" w:hAnsi="Calibri"/>
          <w:bCs/>
          <w:iCs/>
          <w:color w:val="7F7F7F" w:themeColor="text1" w:themeTint="80"/>
          <w:sz w:val="26"/>
          <w:szCs w:val="26"/>
        </w:rPr>
        <w:t xml:space="preserve"> </w:t>
      </w:r>
      <w:r w:rsidR="00EC668E">
        <w:rPr>
          <w:rFonts w:ascii="Calibri" w:hAnsi="Calibri"/>
          <w:bCs/>
          <w:iCs/>
          <w:color w:val="7F7F7F" w:themeColor="text1" w:themeTint="80"/>
          <w:sz w:val="26"/>
          <w:szCs w:val="26"/>
        </w:rPr>
        <w:t>la calificación e imposición de una multa</w:t>
      </w:r>
      <w:r w:rsidRPr="00E50512">
        <w:rPr>
          <w:rFonts w:ascii="Calibri" w:hAnsi="Calibri"/>
          <w:bCs/>
          <w:iCs/>
          <w:color w:val="7F7F7F" w:themeColor="text1" w:themeTint="80"/>
          <w:sz w:val="26"/>
          <w:szCs w:val="26"/>
        </w:rPr>
        <w:t xml:space="preserve">; por lo que en consecuencia </w:t>
      </w:r>
      <w:r w:rsidRPr="00E50512">
        <w:rPr>
          <w:rFonts w:ascii="Calibri" w:hAnsi="Calibri"/>
          <w:b/>
          <w:bCs/>
          <w:iCs/>
          <w:color w:val="7F7F7F" w:themeColor="text1" w:themeTint="80"/>
          <w:sz w:val="26"/>
          <w:szCs w:val="26"/>
        </w:rPr>
        <w:t>es procedente</w:t>
      </w:r>
      <w:r w:rsidRPr="00E50512">
        <w:rPr>
          <w:rFonts w:ascii="Calibri" w:hAnsi="Calibri"/>
          <w:bCs/>
          <w:iCs/>
          <w:color w:val="7F7F7F" w:themeColor="text1" w:themeTint="80"/>
          <w:sz w:val="26"/>
          <w:szCs w:val="26"/>
        </w:rPr>
        <w:t xml:space="preserve"> el presente proceso respecto de esos actos administrativos. . . . . . . . . . . . . . . . . . . . .</w:t>
      </w:r>
      <w:r w:rsidR="000E64C5">
        <w:rPr>
          <w:rFonts w:ascii="Calibri" w:hAnsi="Calibri"/>
          <w:bCs/>
          <w:iCs/>
          <w:color w:val="7F7F7F" w:themeColor="text1" w:themeTint="80"/>
          <w:sz w:val="26"/>
          <w:szCs w:val="26"/>
        </w:rPr>
        <w:t xml:space="preserve"> . . . . . . . . . . . . . . . .</w:t>
      </w:r>
    </w:p>
    <w:p w:rsidR="004B3DFC" w:rsidRPr="00BF5CA7" w:rsidRDefault="004B3DFC" w:rsidP="004B3DFC">
      <w:pPr>
        <w:jc w:val="both"/>
        <w:rPr>
          <w:rFonts w:ascii="Calibri" w:hAnsi="Calibri"/>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E64C5">
        <w:rPr>
          <w:rFonts w:ascii="Calibri" w:hAnsi="Calibri" w:cs="Arial"/>
          <w:color w:val="7F7F7F" w:themeColor="text1" w:themeTint="80"/>
          <w:sz w:val="26"/>
          <w:szCs w:val="26"/>
        </w:rPr>
        <w:t>. . . . . . . . . . . . . . .</w:t>
      </w:r>
    </w:p>
    <w:p w:rsidR="004B3DFC" w:rsidRPr="00BF5CA7" w:rsidRDefault="004B3DFC" w:rsidP="004B3DFC">
      <w:pPr>
        <w:ind w:firstLine="708"/>
        <w:jc w:val="both"/>
        <w:rPr>
          <w:rFonts w:ascii="Calibri" w:hAnsi="Calibri"/>
          <w:color w:val="7F7F7F" w:themeColor="text1" w:themeTint="80"/>
          <w:sz w:val="22"/>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De lo expuesto por </w:t>
      </w:r>
      <w:r w:rsidR="00792CFC">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presente causa administrativa; se desprende que con fecha </w:t>
      </w:r>
      <w:r w:rsidR="002C2B92">
        <w:rPr>
          <w:rFonts w:ascii="Calibri" w:hAnsi="Calibri"/>
          <w:color w:val="7F7F7F" w:themeColor="text1" w:themeTint="80"/>
          <w:sz w:val="26"/>
          <w:szCs w:val="26"/>
        </w:rPr>
        <w:t>21 veintiuno de mayo</w:t>
      </w:r>
      <w:r w:rsidRPr="00BF5CA7">
        <w:rPr>
          <w:rFonts w:ascii="Calibri" w:hAnsi="Calibri"/>
          <w:color w:val="7F7F7F" w:themeColor="text1" w:themeTint="80"/>
          <w:sz w:val="26"/>
          <w:szCs w:val="26"/>
        </w:rPr>
        <w:t xml:space="preserve"> del año 2015 dos mil quince, dentro del expediente número </w:t>
      </w:r>
      <w:r w:rsidR="00781737">
        <w:rPr>
          <w:rFonts w:ascii="Calibri" w:hAnsi="Calibri"/>
          <w:color w:val="7F7F7F" w:themeColor="text1" w:themeTint="80"/>
          <w:sz w:val="26"/>
          <w:szCs w:val="26"/>
        </w:rPr>
        <w:t>DGFC/DT/</w:t>
      </w:r>
      <w:r w:rsidR="002C2B92">
        <w:rPr>
          <w:rFonts w:ascii="Calibri" w:hAnsi="Calibri"/>
          <w:color w:val="7F7F7F" w:themeColor="text1" w:themeTint="80"/>
          <w:sz w:val="26"/>
          <w:szCs w:val="26"/>
        </w:rPr>
        <w:t>0291</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Director General de Fiscalización y Control </w:t>
      </w:r>
      <w:r w:rsidRPr="00BF5CA7">
        <w:rPr>
          <w:rFonts w:ascii="Calibri" w:hAnsi="Calibri"/>
          <w:color w:val="7F7F7F" w:themeColor="text1" w:themeTint="80"/>
          <w:sz w:val="26"/>
          <w:szCs w:val="26"/>
        </w:rPr>
        <w:t xml:space="preserve">emitió la 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lastRenderedPageBreak/>
        <w:t xml:space="preserve">y, que en relación a la misma, ese mismo día, </w:t>
      </w:r>
      <w:r w:rsidR="00D4766E">
        <w:rPr>
          <w:rFonts w:ascii="Calibri" w:hAnsi="Calibri"/>
          <w:color w:val="7F7F7F" w:themeColor="text1" w:themeTint="80"/>
          <w:sz w:val="26"/>
          <w:szCs w:val="26"/>
        </w:rPr>
        <w:t>el</w:t>
      </w:r>
      <w:r w:rsidR="00A02F6E">
        <w:rPr>
          <w:rFonts w:ascii="Calibri" w:hAnsi="Calibri"/>
          <w:color w:val="7F7F7F" w:themeColor="text1" w:themeTint="80"/>
          <w:sz w:val="26"/>
          <w:szCs w:val="26"/>
        </w:rPr>
        <w:t xml:space="preserve"> inspector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CD56F6">
        <w:rPr>
          <w:rFonts w:ascii="Calibri" w:hAnsi="Calibri"/>
          <w:color w:val="7F7F7F" w:themeColor="text1" w:themeTint="80"/>
          <w:sz w:val="26"/>
          <w:szCs w:val="26"/>
        </w:rPr>
        <w:t>*****</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Establecimientos Comerciales y de Servicios en el Municipio de León, Guanajuato, en vigor; en el establecimiento ubicado en el domicilio </w:t>
      </w:r>
      <w:r w:rsidR="00CD56F6">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llevando a cabo la visita de inspección; entendiendo la diligencia con </w:t>
      </w:r>
      <w:r w:rsidR="00792CFC">
        <w:rPr>
          <w:rFonts w:ascii="Calibri" w:hAnsi="Calibri"/>
          <w:color w:val="7F7F7F" w:themeColor="text1" w:themeTint="80"/>
          <w:sz w:val="26"/>
          <w:szCs w:val="26"/>
        </w:rPr>
        <w:t xml:space="preserve">el </w:t>
      </w:r>
      <w:r w:rsidRPr="00BF5CA7">
        <w:rPr>
          <w:rFonts w:ascii="Calibri" w:hAnsi="Calibri"/>
          <w:color w:val="7F7F7F" w:themeColor="text1" w:themeTint="80"/>
          <w:sz w:val="26"/>
          <w:szCs w:val="26"/>
        </w:rPr>
        <w:t>ahora actor; procediendo a levantar un acta en la que se hizo constar el funcionamiento en el establecimiento, de 1 una máquina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de las prohibidas por la ley; procediendo a clausurarla. . . . . . . . . . . . . </w:t>
      </w:r>
      <w:r w:rsidR="00AE1A6F">
        <w:rPr>
          <w:rFonts w:ascii="Calibri" w:hAnsi="Calibri"/>
          <w:color w:val="7F7F7F" w:themeColor="text1" w:themeTint="80"/>
          <w:sz w:val="26"/>
          <w:szCs w:val="26"/>
        </w:rPr>
        <w:t>. . . . . . . . . . .</w:t>
      </w:r>
      <w:r w:rsidR="00D77803">
        <w:rPr>
          <w:rFonts w:ascii="Calibri" w:hAnsi="Calibri"/>
          <w:color w:val="7F7F7F" w:themeColor="text1" w:themeTint="80"/>
          <w:sz w:val="26"/>
          <w:szCs w:val="26"/>
        </w:rPr>
        <w:t xml:space="preserve"> . . . .</w:t>
      </w:r>
      <w:r w:rsidR="00BF7A26">
        <w:rPr>
          <w:rFonts w:ascii="Calibri" w:hAnsi="Calibri"/>
          <w:color w:val="7F7F7F" w:themeColor="text1" w:themeTint="80"/>
          <w:sz w:val="26"/>
          <w:szCs w:val="26"/>
        </w:rPr>
        <w:t xml:space="preserve"> . . . . . . . . . . . . . . </w:t>
      </w:r>
    </w:p>
    <w:p w:rsidR="004B3DFC" w:rsidRPr="00BF5CA7" w:rsidRDefault="004B3DFC" w:rsidP="004B3DFC">
      <w:pPr>
        <w:pStyle w:val="Sangra2detindependiente"/>
        <w:ind w:firstLine="0"/>
        <w:rPr>
          <w:rFonts w:ascii="Calibri" w:hAnsi="Calibri"/>
          <w:color w:val="7F7F7F" w:themeColor="text1" w:themeTint="80"/>
          <w:sz w:val="26"/>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Actos que </w:t>
      </w:r>
      <w:r w:rsidR="00216FD3">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r w:rsidR="00BF7A26">
        <w:rPr>
          <w:rFonts w:ascii="Calibri" w:hAnsi="Calibri"/>
          <w:color w:val="7F7F7F" w:themeColor="text1" w:themeTint="80"/>
          <w:sz w:val="26"/>
          <w:szCs w:val="26"/>
        </w:rPr>
        <w:t xml:space="preserve">. . . . . . . </w:t>
      </w:r>
    </w:p>
    <w:p w:rsidR="004B3DFC" w:rsidRPr="00BF5CA7" w:rsidRDefault="004B3DFC" w:rsidP="004B3DFC">
      <w:pPr>
        <w:pStyle w:val="Textoindependiente"/>
        <w:tabs>
          <w:tab w:val="left" w:pos="3594"/>
        </w:tabs>
        <w:rPr>
          <w:rFonts w:ascii="Calibri" w:hAnsi="Calibri" w:cs="Calibri"/>
          <w:iCs/>
          <w:color w:val="7F7F7F" w:themeColor="text1" w:themeTint="80"/>
          <w:sz w:val="26"/>
          <w:szCs w:val="26"/>
        </w:rPr>
      </w:pPr>
    </w:p>
    <w:p w:rsidR="00AE3E7D"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t xml:space="preserve">            A lo expresado por </w:t>
      </w:r>
      <w:r w:rsidR="00792CFC">
        <w:rPr>
          <w:rFonts w:ascii="Calibri" w:hAnsi="Calibri" w:cs="Calibri"/>
          <w:iCs/>
          <w:color w:val="7F7F7F" w:themeColor="text1" w:themeTint="80"/>
          <w:sz w:val="26"/>
          <w:szCs w:val="26"/>
        </w:rPr>
        <w:t>el</w:t>
      </w:r>
      <w:r w:rsidRPr="00BF5CA7">
        <w:rPr>
          <w:rFonts w:ascii="Calibri" w:hAnsi="Calibri" w:cs="Calibri"/>
          <w:iCs/>
          <w:color w:val="7F7F7F" w:themeColor="text1" w:themeTint="80"/>
          <w:sz w:val="26"/>
          <w:szCs w:val="26"/>
        </w:rPr>
        <w:t xml:space="preserve"> impetrante, el Director enjuiciado</w:t>
      </w:r>
      <w:r w:rsidR="00A107AD">
        <w:rPr>
          <w:rFonts w:ascii="Calibri" w:hAnsi="Calibri" w:cs="Calibri"/>
          <w:iCs/>
          <w:color w:val="7F7F7F" w:themeColor="text1" w:themeTint="80"/>
          <w:sz w:val="26"/>
          <w:szCs w:val="26"/>
        </w:rPr>
        <w:t>,</w:t>
      </w:r>
      <w:r w:rsidRPr="00BF5CA7">
        <w:rPr>
          <w:rFonts w:ascii="Calibri" w:hAnsi="Calibri" w:cs="Calibri"/>
          <w:iCs/>
          <w:color w:val="7F7F7F" w:themeColor="text1" w:themeTint="80"/>
          <w:sz w:val="26"/>
          <w:szCs w:val="26"/>
        </w:rPr>
        <w:t xml:space="preserve"> </w:t>
      </w:r>
      <w:r w:rsidR="00EC7D6A">
        <w:rPr>
          <w:rFonts w:ascii="Calibri" w:hAnsi="Calibri" w:cs="Calibri"/>
          <w:iCs/>
          <w:color w:val="7F7F7F" w:themeColor="text1" w:themeTint="80"/>
          <w:sz w:val="26"/>
          <w:szCs w:val="26"/>
        </w:rPr>
        <w:t>contest</w:t>
      </w:r>
      <w:r w:rsidR="00A107AD">
        <w:rPr>
          <w:rFonts w:ascii="Calibri" w:hAnsi="Calibri" w:cs="Calibri"/>
          <w:iCs/>
          <w:color w:val="7F7F7F" w:themeColor="text1" w:themeTint="80"/>
          <w:sz w:val="26"/>
          <w:szCs w:val="26"/>
        </w:rPr>
        <w:t>ó</w:t>
      </w:r>
      <w:r w:rsidR="00EC7D6A">
        <w:rPr>
          <w:rFonts w:ascii="Calibri" w:hAnsi="Calibri" w:cs="Calibri"/>
          <w:iCs/>
          <w:color w:val="7F7F7F" w:themeColor="text1" w:themeTint="80"/>
          <w:sz w:val="26"/>
          <w:szCs w:val="26"/>
        </w:rPr>
        <w:t xml:space="preserve"> que era legal el procedimiento elaborado y que </w:t>
      </w:r>
      <w:r w:rsidR="00216FD3">
        <w:rPr>
          <w:rFonts w:ascii="Calibri" w:hAnsi="Calibri" w:cs="Calibri"/>
          <w:iCs/>
          <w:color w:val="7F7F7F" w:themeColor="text1" w:themeTint="80"/>
          <w:sz w:val="26"/>
          <w:szCs w:val="26"/>
        </w:rPr>
        <w:t>el</w:t>
      </w:r>
      <w:r w:rsidR="00EC7D6A">
        <w:rPr>
          <w:rFonts w:ascii="Calibri" w:hAnsi="Calibri" w:cs="Calibri"/>
          <w:iCs/>
          <w:color w:val="7F7F7F" w:themeColor="text1" w:themeTint="80"/>
          <w:sz w:val="26"/>
          <w:szCs w:val="26"/>
        </w:rPr>
        <w:t xml:space="preserve"> actor </w:t>
      </w:r>
      <w:r w:rsidR="006F74D0">
        <w:rPr>
          <w:rFonts w:ascii="Calibri" w:hAnsi="Calibri" w:cs="Calibri"/>
          <w:iCs/>
          <w:color w:val="7F7F7F" w:themeColor="text1" w:themeTint="80"/>
          <w:sz w:val="26"/>
          <w:szCs w:val="26"/>
        </w:rPr>
        <w:t>no desvirtúa el hecho de que se encontraba realizando una conducta expresamente prohibida</w:t>
      </w:r>
      <w:r w:rsidRPr="00BF5CA7">
        <w:rPr>
          <w:rFonts w:ascii="Calibri" w:hAnsi="Calibri" w:cs="Calibri"/>
          <w:iCs/>
          <w:color w:val="7F7F7F" w:themeColor="text1" w:themeTint="80"/>
          <w:sz w:val="26"/>
          <w:szCs w:val="26"/>
        </w:rPr>
        <w:t xml:space="preserve">. . . . . . . </w:t>
      </w:r>
      <w:r w:rsidR="00EC7D6A">
        <w:rPr>
          <w:rFonts w:ascii="Calibri" w:hAnsi="Calibri" w:cs="Calibri"/>
          <w:iCs/>
          <w:color w:val="7F7F7F" w:themeColor="text1" w:themeTint="80"/>
          <w:sz w:val="26"/>
          <w:szCs w:val="26"/>
        </w:rPr>
        <w:t xml:space="preserve">. . . . . . . . . . </w:t>
      </w:r>
    </w:p>
    <w:p w:rsidR="003D0914" w:rsidRPr="00BF5CA7" w:rsidRDefault="003D0914" w:rsidP="004B3DFC">
      <w:pPr>
        <w:pStyle w:val="Textoindependiente"/>
        <w:tabs>
          <w:tab w:val="left" w:pos="3594"/>
        </w:tabs>
        <w:rPr>
          <w:rFonts w:ascii="Calibri" w:hAnsi="Calibri" w:cs="Calibri"/>
          <w:iCs/>
          <w:color w:val="7F7F7F" w:themeColor="text1" w:themeTint="80"/>
          <w:sz w:val="26"/>
          <w:szCs w:val="26"/>
        </w:rPr>
      </w:pPr>
    </w:p>
    <w:p w:rsidR="00EC7D6A" w:rsidRDefault="004B3DFC" w:rsidP="00EC668E">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las cosas, la </w:t>
      </w:r>
      <w:r w:rsidRPr="003D0914">
        <w:rPr>
          <w:rFonts w:ascii="Calibri" w:hAnsi="Calibri" w:cs="Calibri"/>
          <w:i/>
          <w:color w:val="7F7F7F" w:themeColor="text1" w:themeTint="80"/>
          <w:sz w:val="26"/>
          <w:szCs w:val="26"/>
        </w:rPr>
        <w:t>“</w:t>
      </w:r>
      <w:proofErr w:type="spellStart"/>
      <w:r w:rsidRPr="003D0914">
        <w:rPr>
          <w:rFonts w:ascii="Calibri" w:hAnsi="Calibri" w:cs="Calibri"/>
          <w:i/>
          <w:color w:val="7F7F7F" w:themeColor="text1" w:themeTint="80"/>
          <w:sz w:val="26"/>
          <w:szCs w:val="26"/>
        </w:rPr>
        <w:t>litis</w:t>
      </w:r>
      <w:proofErr w:type="spellEnd"/>
      <w:r w:rsidRPr="003D0914">
        <w:rPr>
          <w:rFonts w:ascii="Calibri" w:hAnsi="Calibri" w:cs="Calibri"/>
          <w:i/>
          <w:color w:val="7F7F7F" w:themeColor="text1" w:themeTint="80"/>
          <w:sz w:val="26"/>
          <w:szCs w:val="26"/>
        </w:rPr>
        <w:t>”</w:t>
      </w:r>
      <w:r w:rsidRPr="00BF5CA7">
        <w:rPr>
          <w:rFonts w:ascii="Calibri" w:hAnsi="Calibri" w:cs="Calibri"/>
          <w:color w:val="7F7F7F" w:themeColor="text1" w:themeTint="80"/>
          <w:sz w:val="26"/>
          <w:szCs w:val="26"/>
        </w:rPr>
        <w:t xml:space="preserve"> planteada se hace consistir en determinar la legalidad o ilegalidad de l</w:t>
      </w:r>
      <w:r w:rsidR="00EC668E">
        <w:rPr>
          <w:rFonts w:ascii="Calibri" w:hAnsi="Calibri"/>
          <w:color w:val="7F7F7F" w:themeColor="text1" w:themeTint="80"/>
          <w:sz w:val="26"/>
          <w:szCs w:val="26"/>
        </w:rPr>
        <w:t>a orden de visita de inspección</w:t>
      </w:r>
      <w:r w:rsidRPr="00BF5CA7">
        <w:rPr>
          <w:rFonts w:ascii="Calibri" w:hAnsi="Calibri"/>
          <w:color w:val="7F7F7F" w:themeColor="text1" w:themeTint="80"/>
          <w:sz w:val="26"/>
          <w:szCs w:val="26"/>
        </w:rPr>
        <w:t xml:space="preserve">; 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Pr="00BF5CA7">
        <w:rPr>
          <w:rFonts w:ascii="Calibri" w:hAnsi="Calibri"/>
          <w:color w:val="7F7F7F" w:themeColor="text1" w:themeTint="80"/>
          <w:sz w:val="26"/>
          <w:szCs w:val="26"/>
        </w:rPr>
        <w:t xml:space="preserve">visita de inspección; </w:t>
      </w:r>
      <w:r w:rsidR="00EC668E">
        <w:rPr>
          <w:rFonts w:ascii="Calibri" w:hAnsi="Calibri"/>
          <w:color w:val="7F7F7F" w:themeColor="text1" w:themeTint="80"/>
          <w:sz w:val="26"/>
          <w:szCs w:val="26"/>
        </w:rPr>
        <w:t xml:space="preserve">y, </w:t>
      </w:r>
      <w:r w:rsidRPr="00BF5CA7">
        <w:rPr>
          <w:rFonts w:ascii="Calibri" w:hAnsi="Calibri"/>
          <w:color w:val="7F7F7F" w:themeColor="text1" w:themeTint="80"/>
          <w:sz w:val="26"/>
          <w:szCs w:val="26"/>
        </w:rPr>
        <w:t>la orden de clausura</w:t>
      </w:r>
      <w:r w:rsidR="00EC668E">
        <w:rPr>
          <w:rFonts w:ascii="Calibri" w:hAnsi="Calibri"/>
          <w:color w:val="7F7F7F" w:themeColor="text1" w:themeTint="80"/>
          <w:sz w:val="26"/>
          <w:szCs w:val="26"/>
        </w:rPr>
        <w:t xml:space="preserve">, todas </w:t>
      </w:r>
      <w:r w:rsidR="00EC668E" w:rsidRPr="00BF5CA7">
        <w:rPr>
          <w:rFonts w:ascii="Calibri" w:hAnsi="Calibri"/>
          <w:color w:val="7F7F7F" w:themeColor="text1" w:themeTint="80"/>
          <w:sz w:val="26"/>
          <w:szCs w:val="26"/>
        </w:rPr>
        <w:t xml:space="preserve">de fecha </w:t>
      </w:r>
      <w:r w:rsidR="002C2B92">
        <w:rPr>
          <w:rFonts w:ascii="Calibri" w:hAnsi="Calibri"/>
          <w:color w:val="7F7F7F" w:themeColor="text1" w:themeTint="80"/>
          <w:sz w:val="26"/>
          <w:szCs w:val="26"/>
        </w:rPr>
        <w:t>21 veintiuno de mayo</w:t>
      </w:r>
      <w:r w:rsidR="00EC668E">
        <w:rPr>
          <w:rFonts w:ascii="Calibri" w:hAnsi="Calibri"/>
          <w:color w:val="7F7F7F" w:themeColor="text1" w:themeTint="80"/>
          <w:sz w:val="26"/>
          <w:szCs w:val="26"/>
        </w:rPr>
        <w:t xml:space="preserve"> del año 2015 dos mil quince</w:t>
      </w:r>
      <w:r w:rsidR="006F74D0">
        <w:rPr>
          <w:rFonts w:ascii="Calibri" w:hAnsi="Calibri"/>
          <w:color w:val="7F7F7F" w:themeColor="text1" w:themeTint="80"/>
          <w:sz w:val="26"/>
          <w:szCs w:val="26"/>
        </w:rPr>
        <w:t xml:space="preserve">; y, </w:t>
      </w:r>
      <w:r w:rsidR="00EC668E">
        <w:rPr>
          <w:rFonts w:ascii="Calibri" w:hAnsi="Calibri"/>
          <w:color w:val="7F7F7F" w:themeColor="text1" w:themeTint="80"/>
          <w:sz w:val="26"/>
          <w:szCs w:val="26"/>
        </w:rPr>
        <w:t>la calificación e imposición de una multa. Actos emitidos respecto del expediente</w:t>
      </w:r>
      <w:r w:rsidR="00EC668E" w:rsidRPr="00BF5CA7">
        <w:rPr>
          <w:rFonts w:ascii="Calibri" w:hAnsi="Calibri"/>
          <w:color w:val="7F7F7F" w:themeColor="text1" w:themeTint="80"/>
          <w:sz w:val="26"/>
          <w:szCs w:val="26"/>
        </w:rPr>
        <w:t xml:space="preserve"> </w:t>
      </w:r>
      <w:r w:rsidR="003D0914">
        <w:rPr>
          <w:rFonts w:ascii="Calibri" w:hAnsi="Calibri"/>
          <w:color w:val="7F7F7F" w:themeColor="text1" w:themeTint="80"/>
          <w:sz w:val="26"/>
          <w:szCs w:val="26"/>
        </w:rPr>
        <w:t xml:space="preserve">con </w:t>
      </w:r>
      <w:r w:rsidR="00EC668E" w:rsidRPr="00BF5CA7">
        <w:rPr>
          <w:rFonts w:ascii="Calibri" w:hAnsi="Calibri"/>
          <w:color w:val="7F7F7F" w:themeColor="text1" w:themeTint="80"/>
          <w:sz w:val="26"/>
          <w:szCs w:val="26"/>
        </w:rPr>
        <w:t xml:space="preserve">número </w:t>
      </w:r>
      <w:r w:rsidR="00EC668E">
        <w:rPr>
          <w:rFonts w:ascii="Calibri" w:hAnsi="Calibri"/>
          <w:color w:val="7F7F7F" w:themeColor="text1" w:themeTint="80"/>
          <w:sz w:val="26"/>
          <w:szCs w:val="26"/>
        </w:rPr>
        <w:t>DGFC/DT/</w:t>
      </w:r>
      <w:r w:rsidR="002C2B92">
        <w:rPr>
          <w:rFonts w:ascii="Calibri" w:hAnsi="Calibri"/>
          <w:color w:val="7F7F7F" w:themeColor="text1" w:themeTint="80"/>
          <w:sz w:val="26"/>
          <w:szCs w:val="26"/>
        </w:rPr>
        <w:t>0291</w:t>
      </w:r>
      <w:r w:rsidR="00EC668E">
        <w:rPr>
          <w:rFonts w:ascii="Calibri" w:hAnsi="Calibri"/>
          <w:color w:val="7F7F7F" w:themeColor="text1" w:themeTint="80"/>
          <w:sz w:val="26"/>
          <w:szCs w:val="26"/>
        </w:rPr>
        <w:t>/2015/JA. . . . . . .</w:t>
      </w:r>
      <w:r w:rsidR="003D0914">
        <w:rPr>
          <w:rFonts w:ascii="Calibri" w:hAnsi="Calibri"/>
          <w:color w:val="7F7F7F" w:themeColor="text1" w:themeTint="80"/>
          <w:sz w:val="26"/>
          <w:szCs w:val="26"/>
        </w:rPr>
        <w:t xml:space="preserve"> . . . . . . . . . . . . . . . . . . . . . </w:t>
      </w:r>
    </w:p>
    <w:p w:rsidR="00EC668E" w:rsidRPr="00EC668E" w:rsidRDefault="00EC668E" w:rsidP="00EC668E">
      <w:pPr>
        <w:ind w:firstLine="708"/>
        <w:jc w:val="both"/>
        <w:rPr>
          <w:rFonts w:ascii="Calibri" w:hAnsi="Calibri"/>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 xml:space="preserve">No existiendo impedimento legal, se procede a analizar los conceptos de impugnación hechos valer por </w:t>
      </w:r>
      <w:r w:rsidR="00216FD3">
        <w:rPr>
          <w:rFonts w:ascii="Calibri" w:hAnsi="Calibri" w:cs="Arial"/>
          <w:color w:val="7F7F7F" w:themeColor="text1" w:themeTint="80"/>
          <w:sz w:val="26"/>
          <w:szCs w:val="26"/>
        </w:rPr>
        <w:t>el</w:t>
      </w:r>
      <w:r w:rsidRPr="00BF5CA7">
        <w:rPr>
          <w:rFonts w:ascii="Calibri" w:hAnsi="Calibri" w:cs="Arial"/>
          <w:color w:val="7F7F7F" w:themeColor="text1" w:themeTint="80"/>
          <w:sz w:val="26"/>
          <w:szCs w:val="26"/>
        </w:rPr>
        <w:t xml:space="preserve"> justiciable. . . . . . . . . . . . . . . . . . . . </w:t>
      </w:r>
      <w:r w:rsidR="003D0914">
        <w:rPr>
          <w:rFonts w:ascii="Calibri" w:hAnsi="Calibri" w:cs="Arial"/>
          <w:color w:val="7F7F7F" w:themeColor="text1" w:themeTint="80"/>
          <w:sz w:val="26"/>
          <w:szCs w:val="26"/>
        </w:rPr>
        <w:t>.</w:t>
      </w:r>
    </w:p>
    <w:p w:rsidR="00D77803" w:rsidRDefault="00D77803" w:rsidP="003D0914">
      <w:pPr>
        <w:jc w:val="both"/>
        <w:rPr>
          <w:rFonts w:ascii="Calibri" w:hAnsi="Calibri" w:cs="Calibri"/>
          <w:color w:val="7F7F7F" w:themeColor="text1" w:themeTint="80"/>
          <w:sz w:val="26"/>
          <w:szCs w:val="26"/>
        </w:rPr>
      </w:pPr>
    </w:p>
    <w:p w:rsidR="003D0914" w:rsidRDefault="004B3DFC" w:rsidP="004B3DFC">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t xml:space="preserve">Este Juzgador de manera primordial procederá al análisis de los conceptos de impugnación aplicando el principio de mayor consecuencia anulatoria de los </w:t>
      </w:r>
    </w:p>
    <w:p w:rsidR="003D0914" w:rsidRDefault="003D0914" w:rsidP="003D0914">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538/2015-JN</w:t>
      </w:r>
    </w:p>
    <w:p w:rsidR="003D0914" w:rsidRDefault="003D0914" w:rsidP="004B3DFC">
      <w:pPr>
        <w:ind w:firstLine="708"/>
        <w:jc w:val="both"/>
        <w:rPr>
          <w:rFonts w:ascii="Calibri" w:hAnsi="Calibri" w:cs="Calibri"/>
          <w:color w:val="7F7F7F" w:themeColor="text1" w:themeTint="80"/>
          <w:sz w:val="26"/>
          <w:szCs w:val="26"/>
        </w:rPr>
      </w:pPr>
    </w:p>
    <w:p w:rsidR="004B3DFC" w:rsidRPr="00BF5CA7" w:rsidRDefault="004B3DFC" w:rsidP="003D0914">
      <w:pPr>
        <w:jc w:val="both"/>
        <w:rPr>
          <w:rFonts w:ascii="Calibri" w:hAnsi="Calibri" w:cs="Arial"/>
          <w:color w:val="7F7F7F" w:themeColor="text1" w:themeTint="80"/>
          <w:sz w:val="26"/>
          <w:szCs w:val="26"/>
        </w:rPr>
      </w:pPr>
      <w:proofErr w:type="gramStart"/>
      <w:r w:rsidRPr="00BF5CA7">
        <w:rPr>
          <w:rFonts w:ascii="Calibri" w:hAnsi="Calibri" w:cs="Calibri"/>
          <w:color w:val="7F7F7F" w:themeColor="text1" w:themeTint="80"/>
          <w:sz w:val="26"/>
          <w:szCs w:val="26"/>
        </w:rPr>
        <w:t>actos</w:t>
      </w:r>
      <w:proofErr w:type="gramEnd"/>
      <w:r w:rsidRPr="00BF5CA7">
        <w:rPr>
          <w:rFonts w:ascii="Calibri" w:hAnsi="Calibri" w:cs="Calibri"/>
          <w:color w:val="7F7F7F" w:themeColor="text1" w:themeTint="80"/>
          <w:sz w:val="26"/>
          <w:szCs w:val="26"/>
        </w:rPr>
        <w:t xml:space="preserve"> impugnados y que pudieran traer mayor beneficio a</w:t>
      </w:r>
      <w:r w:rsidR="00792CFC">
        <w:rPr>
          <w:rFonts w:ascii="Calibri" w:hAnsi="Calibri" w:cs="Calibri"/>
          <w:color w:val="7F7F7F" w:themeColor="text1" w:themeTint="80"/>
          <w:sz w:val="26"/>
          <w:szCs w:val="26"/>
        </w:rPr>
        <w:t>l</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BF5CA7" w:rsidRDefault="004B3DFC" w:rsidP="004B3DFC">
      <w:pPr>
        <w:ind w:firstLine="708"/>
        <w:jc w:val="both"/>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(visible a foja </w:t>
      </w:r>
      <w:r w:rsidR="00A107AD">
        <w:rPr>
          <w:rFonts w:ascii="Calibri" w:hAnsi="Calibri"/>
          <w:color w:val="7F7F7F" w:themeColor="text1" w:themeTint="80"/>
          <w:sz w:val="26"/>
          <w:szCs w:val="26"/>
        </w:rPr>
        <w:t>1 uno</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p>
    <w:p w:rsidR="004B3DFC" w:rsidRPr="00BF5CA7" w:rsidRDefault="004B3DFC" w:rsidP="004B3DFC">
      <w:pPr>
        <w:pStyle w:val="Textoindependiente"/>
        <w:ind w:firstLine="708"/>
        <w:rPr>
          <w:rFonts w:ascii="Calibri" w:hAnsi="Calibri"/>
          <w:color w:val="7F7F7F" w:themeColor="text1" w:themeTint="80"/>
          <w:sz w:val="26"/>
          <w:szCs w:val="26"/>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lastRenderedPageBreak/>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p>
    <w:p w:rsidR="004B3DFC" w:rsidRPr="00BF5CA7" w:rsidRDefault="004B3DFC" w:rsidP="004B3DFC">
      <w:pPr>
        <w:pStyle w:val="Normal0"/>
        <w:jc w:val="both"/>
        <w:rPr>
          <w:rFonts w:ascii="Calibri" w:hAnsi="Calibri"/>
          <w:color w:val="7F7F7F" w:themeColor="text1" w:themeTint="80"/>
          <w:sz w:val="22"/>
          <w:szCs w:val="22"/>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 xml:space="preserve">n el señalado concepto de impugnación, </w:t>
      </w:r>
      <w:r w:rsidR="00150289">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50512">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xml:space="preserve">. . . . . . . . . . . . . . . . . . . . . . . . . . . . . . . . </w:t>
      </w:r>
    </w:p>
    <w:p w:rsidR="004B3DFC" w:rsidRPr="00BF5CA7" w:rsidRDefault="004B3DFC" w:rsidP="004B3DFC">
      <w:pPr>
        <w:jc w:val="both"/>
        <w:rPr>
          <w:rFonts w:ascii="Calibri" w:hAnsi="Calibri"/>
          <w:i/>
          <w:color w:val="7F7F7F" w:themeColor="text1" w:themeTint="80"/>
          <w:sz w:val="22"/>
          <w:szCs w:val="22"/>
        </w:rPr>
      </w:pPr>
    </w:p>
    <w:p w:rsidR="004B3DFC" w:rsidRPr="00E959B2" w:rsidRDefault="004B3DFC" w:rsidP="00E959B2">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t xml:space="preserve">A lo antes reseñado, </w:t>
      </w:r>
      <w:r w:rsidR="00A107AD">
        <w:rPr>
          <w:rFonts w:ascii="Calibri" w:hAnsi="Calibri"/>
          <w:iCs/>
          <w:color w:val="7F7F7F" w:themeColor="text1" w:themeTint="80"/>
          <w:sz w:val="26"/>
          <w:szCs w:val="26"/>
        </w:rPr>
        <w:t xml:space="preserve">el Director </w:t>
      </w:r>
      <w:r w:rsidR="00EC668E">
        <w:rPr>
          <w:rFonts w:ascii="Calibri" w:hAnsi="Calibri"/>
          <w:iCs/>
          <w:color w:val="7F7F7F" w:themeColor="text1" w:themeTint="80"/>
          <w:sz w:val="26"/>
          <w:szCs w:val="26"/>
        </w:rPr>
        <w:t xml:space="preserve">e inspector </w:t>
      </w:r>
      <w:r w:rsidR="00A107AD">
        <w:rPr>
          <w:rFonts w:ascii="Calibri" w:hAnsi="Calibri"/>
          <w:iCs/>
          <w:color w:val="7F7F7F" w:themeColor="text1" w:themeTint="80"/>
          <w:sz w:val="26"/>
          <w:szCs w:val="26"/>
        </w:rPr>
        <w:t>enjuiciado</w:t>
      </w:r>
      <w:r w:rsidR="00EC668E">
        <w:rPr>
          <w:rFonts w:ascii="Calibri" w:hAnsi="Calibri"/>
          <w:iCs/>
          <w:color w:val="7F7F7F" w:themeColor="text1" w:themeTint="80"/>
          <w:sz w:val="26"/>
          <w:szCs w:val="26"/>
        </w:rPr>
        <w:t>s</w:t>
      </w:r>
      <w:r w:rsidRPr="006071F6">
        <w:rPr>
          <w:rFonts w:ascii="Calibri" w:hAnsi="Calibri"/>
          <w:iCs/>
          <w:color w:val="7F7F7F" w:themeColor="text1" w:themeTint="80"/>
          <w:sz w:val="26"/>
          <w:szCs w:val="26"/>
        </w:rPr>
        <w:t>, expres</w:t>
      </w:r>
      <w:r w:rsidR="00EC668E">
        <w:rPr>
          <w:rFonts w:ascii="Calibri" w:hAnsi="Calibri"/>
          <w:iCs/>
          <w:color w:val="7F7F7F" w:themeColor="text1" w:themeTint="80"/>
          <w:sz w:val="26"/>
          <w:szCs w:val="26"/>
        </w:rPr>
        <w:t>aron</w:t>
      </w:r>
      <w:r w:rsidRPr="006071F6">
        <w:rPr>
          <w:rFonts w:ascii="Calibri" w:hAnsi="Calibri"/>
          <w:iCs/>
          <w:color w:val="7F7F7F" w:themeColor="text1" w:themeTint="80"/>
          <w:sz w:val="26"/>
          <w:szCs w:val="26"/>
        </w:rPr>
        <w:t xml:space="preserve"> </w:t>
      </w:r>
      <w:r w:rsidR="00CF7B38" w:rsidRPr="006071F6">
        <w:rPr>
          <w:rFonts w:ascii="Calibri" w:hAnsi="Calibri"/>
          <w:iCs/>
          <w:color w:val="7F7F7F" w:themeColor="text1" w:themeTint="80"/>
          <w:sz w:val="26"/>
          <w:szCs w:val="26"/>
        </w:rPr>
        <w:t>que sí es competente la dependencia</w:t>
      </w:r>
      <w:r w:rsidR="00A107AD">
        <w:rPr>
          <w:rFonts w:ascii="Calibri" w:hAnsi="Calibri"/>
          <w:iCs/>
          <w:color w:val="7F7F7F" w:themeColor="text1" w:themeTint="80"/>
          <w:sz w:val="26"/>
          <w:szCs w:val="26"/>
        </w:rPr>
        <w:t xml:space="preserve">, </w:t>
      </w:r>
      <w:r w:rsidR="00CF7B38" w:rsidRPr="006071F6">
        <w:rPr>
          <w:rFonts w:ascii="Calibri" w:hAnsi="Calibri"/>
          <w:iCs/>
          <w:color w:val="7F7F7F" w:themeColor="text1" w:themeTint="80"/>
          <w:sz w:val="26"/>
          <w:szCs w:val="26"/>
        </w:rPr>
        <w:t>para suscribir dicho documento</w:t>
      </w:r>
      <w:r w:rsidR="00FF7E91">
        <w:rPr>
          <w:rFonts w:ascii="Calibri" w:hAnsi="Calibri"/>
          <w:iCs/>
          <w:color w:val="7F7F7F" w:themeColor="text1" w:themeTint="80"/>
          <w:sz w:val="26"/>
          <w:szCs w:val="26"/>
        </w:rPr>
        <w:t>,</w:t>
      </w:r>
      <w:r w:rsidR="00CF7B38" w:rsidRPr="006071F6">
        <w:rPr>
          <w:rFonts w:ascii="Calibri" w:hAnsi="Calibri"/>
          <w:iCs/>
          <w:color w:val="7F7F7F" w:themeColor="text1" w:themeTint="80"/>
          <w:sz w:val="26"/>
          <w:szCs w:val="26"/>
        </w:rPr>
        <w:t xml:space="preserve"> </w:t>
      </w:r>
      <w:r w:rsidR="00CF7B38" w:rsidRPr="006071F6">
        <w:rPr>
          <w:rFonts w:ascii="Calibri" w:hAnsi="Calibri"/>
          <w:color w:val="7F7F7F" w:themeColor="text1" w:themeTint="80"/>
          <w:sz w:val="26"/>
          <w:szCs w:val="26"/>
        </w:rPr>
        <w:t>al infringir el artículo 67 fracción IX</w:t>
      </w:r>
      <w:r w:rsidR="00FF7E91">
        <w:rPr>
          <w:rFonts w:ascii="Calibri" w:hAnsi="Calibri"/>
          <w:color w:val="7F7F7F" w:themeColor="text1" w:themeTint="80"/>
          <w:sz w:val="26"/>
          <w:szCs w:val="26"/>
        </w:rPr>
        <w:t xml:space="preserve">, </w:t>
      </w:r>
      <w:r w:rsidR="00FF7E91">
        <w:rPr>
          <w:rFonts w:ascii="Calibri" w:hAnsi="Calibri"/>
          <w:iCs/>
          <w:color w:val="7F7F7F" w:themeColor="text1" w:themeTint="80"/>
          <w:sz w:val="26"/>
          <w:szCs w:val="26"/>
        </w:rPr>
        <w:t xml:space="preserve">del </w:t>
      </w:r>
      <w:r w:rsidR="00FF7E91">
        <w:rPr>
          <w:rFonts w:ascii="Calibri" w:hAnsi="Calibri"/>
          <w:color w:val="7F7F7F" w:themeColor="text1" w:themeTint="80"/>
          <w:sz w:val="26"/>
          <w:szCs w:val="26"/>
        </w:rPr>
        <w:t>Reglamento para el Funcionamiento de Establecimientos Comerciales y de Servicios en el Municipio de León, Guanajuato</w:t>
      </w:r>
      <w:r w:rsidR="00FF7E91">
        <w:rPr>
          <w:rFonts w:ascii="Calibri" w:hAnsi="Calibri"/>
          <w:i/>
          <w:iCs/>
          <w:color w:val="7F7F7F" w:themeColor="text1" w:themeTint="80"/>
          <w:sz w:val="26"/>
          <w:szCs w:val="26"/>
        </w:rPr>
        <w:t>.</w:t>
      </w:r>
    </w:p>
    <w:p w:rsidR="00E959B2" w:rsidRPr="003D0914" w:rsidRDefault="00E959B2" w:rsidP="00E959B2">
      <w:pPr>
        <w:pStyle w:val="Sangra3detindependiente"/>
        <w:ind w:left="0"/>
        <w:jc w:val="both"/>
        <w:rPr>
          <w:rFonts w:ascii="Calibri" w:hAnsi="Calibri"/>
          <w:color w:val="7F7F7F" w:themeColor="text1" w:themeTint="80"/>
          <w:sz w:val="26"/>
          <w:szCs w:val="26"/>
        </w:rPr>
      </w:pPr>
    </w:p>
    <w:p w:rsidR="00DB641E"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A17A21">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A17A21">
        <w:rPr>
          <w:rFonts w:ascii="Calibri" w:hAnsi="Calibri" w:cs="Calibri"/>
          <w:bCs/>
          <w:iCs/>
          <w:color w:val="7F7F7F" w:themeColor="text1" w:themeTint="80"/>
          <w:sz w:val="26"/>
          <w:szCs w:val="26"/>
        </w:rPr>
        <w:t>tal</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w:t>
      </w:r>
      <w:r w:rsidR="008A5D63">
        <w:rPr>
          <w:rFonts w:asciiTheme="minorHAnsi" w:hAnsiTheme="minorHAnsi"/>
          <w:color w:val="7F7F7F" w:themeColor="text1" w:themeTint="80"/>
          <w:sz w:val="26"/>
          <w:szCs w:val="26"/>
        </w:rPr>
        <w:t>los</w:t>
      </w:r>
      <w:r w:rsidR="00CA2C14">
        <w:rPr>
          <w:rFonts w:asciiTheme="minorHAnsi" w:hAnsiTheme="minorHAnsi"/>
          <w:color w:val="7F7F7F" w:themeColor="text1" w:themeTint="80"/>
          <w:sz w:val="26"/>
          <w:szCs w:val="26"/>
        </w:rPr>
        <w:t xml:space="preserve"> artículo</w:t>
      </w:r>
      <w:r w:rsidR="008A5D63">
        <w:rPr>
          <w:rFonts w:asciiTheme="minorHAnsi" w:hAnsiTheme="minorHAnsi"/>
          <w:color w:val="7F7F7F" w:themeColor="text1" w:themeTint="80"/>
          <w:sz w:val="26"/>
          <w:szCs w:val="26"/>
        </w:rPr>
        <w:t>s</w:t>
      </w:r>
      <w:r w:rsidR="00CA2C14">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sidR="00CA2C14">
        <w:rPr>
          <w:rFonts w:asciiTheme="minorHAnsi" w:hAnsiTheme="minorHAnsi"/>
          <w:color w:val="7F7F7F" w:themeColor="text1" w:themeTint="80"/>
          <w:sz w:val="26"/>
          <w:szCs w:val="26"/>
        </w:rPr>
        <w:t>orteos. Luego entonces, expedir una orden de visita</w:t>
      </w:r>
      <w:r w:rsidR="00A17A21">
        <w:rPr>
          <w:rFonts w:asciiTheme="minorHAnsi" w:hAnsiTheme="minorHAnsi"/>
          <w:color w:val="7F7F7F" w:themeColor="text1" w:themeTint="80"/>
          <w:sz w:val="26"/>
          <w:szCs w:val="26"/>
        </w:rPr>
        <w:t xml:space="preserve"> de inspección</w:t>
      </w:r>
      <w:r w:rsidR="00CA2C14">
        <w:rPr>
          <w:rFonts w:asciiTheme="minorHAnsi" w:hAnsiTheme="minorHAnsi"/>
          <w:color w:val="7F7F7F" w:themeColor="text1" w:themeTint="80"/>
          <w:sz w:val="26"/>
          <w:szCs w:val="26"/>
        </w:rPr>
        <w:t xml:space="preserve"> </w:t>
      </w:r>
      <w:r w:rsidR="00981D66">
        <w:rPr>
          <w:rFonts w:asciiTheme="minorHAnsi" w:hAnsiTheme="minorHAnsi"/>
          <w:color w:val="7F7F7F" w:themeColor="text1" w:themeTint="80"/>
          <w:sz w:val="26"/>
          <w:szCs w:val="26"/>
        </w:rPr>
        <w:t>especifica</w:t>
      </w:r>
      <w:r w:rsidR="00C72228">
        <w:rPr>
          <w:rFonts w:asciiTheme="minorHAnsi" w:hAnsiTheme="minorHAnsi"/>
          <w:color w:val="7F7F7F" w:themeColor="text1" w:themeTint="80"/>
          <w:sz w:val="26"/>
          <w:szCs w:val="26"/>
        </w:rPr>
        <w:t xml:space="preserve"> en relación a juegos de azar o con cruce de apuesta</w:t>
      </w:r>
      <w:r w:rsidR="00CA2C14">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8C61C6">
        <w:rPr>
          <w:rFonts w:asciiTheme="minorHAnsi" w:hAnsiTheme="minorHAnsi"/>
          <w:color w:val="7F7F7F" w:themeColor="text1" w:themeTint="80"/>
          <w:sz w:val="26"/>
          <w:szCs w:val="26"/>
        </w:rPr>
        <w:t>. . . . . . . . . . . . . .</w:t>
      </w:r>
      <w:r w:rsidR="00D77803">
        <w:rPr>
          <w:rFonts w:asciiTheme="minorHAnsi" w:hAnsiTheme="minorHAnsi"/>
          <w:color w:val="7F7F7F" w:themeColor="text1" w:themeTint="80"/>
          <w:sz w:val="26"/>
          <w:szCs w:val="26"/>
        </w:rPr>
        <w:t xml:space="preserve"> . . . . . . . . . . . . . . </w:t>
      </w:r>
    </w:p>
    <w:p w:rsidR="008C61C6" w:rsidRDefault="008C61C6" w:rsidP="005820E3">
      <w:pPr>
        <w:pStyle w:val="Default"/>
        <w:ind w:firstLine="708"/>
        <w:jc w:val="both"/>
        <w:rPr>
          <w:rFonts w:asciiTheme="minorHAnsi" w:hAnsiTheme="minorHAnsi"/>
          <w:color w:val="7F7F7F" w:themeColor="text1" w:themeTint="80"/>
          <w:sz w:val="26"/>
          <w:szCs w:val="26"/>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 xml:space="preserve">odas las autoridades federales, las locales y la fuerza pública cooperarán con la Secretaría de Gobernación para hacer cumplir </w:t>
      </w:r>
      <w:r w:rsidR="00992C9C" w:rsidRPr="00992C9C">
        <w:rPr>
          <w:rFonts w:asciiTheme="minorHAnsi" w:hAnsiTheme="minorHAnsi"/>
          <w:color w:val="7F7F7F" w:themeColor="text1" w:themeTint="80"/>
          <w:sz w:val="26"/>
          <w:szCs w:val="26"/>
        </w:rPr>
        <w:lastRenderedPageBreak/>
        <w:t>las determinaciones que ést</w:t>
      </w:r>
      <w:r w:rsidR="00992C9C">
        <w:rPr>
          <w:rFonts w:asciiTheme="minorHAnsi" w:hAnsiTheme="minorHAnsi"/>
          <w:color w:val="7F7F7F" w:themeColor="text1" w:themeTint="80"/>
          <w:sz w:val="26"/>
          <w:szCs w:val="26"/>
        </w:rPr>
        <w:t xml:space="preserve">a dicte de acuerdo con esta Ley; pues ello se entiende en virtud de la colaboración solicitada por dicha dependencia, y no por iniciativa propia; como ocurre en el caso en concreto. . . . . . . . . . . . . . . . . . . . . . . . . . . . . . . . </w:t>
      </w:r>
      <w:r w:rsidR="00FF7E91">
        <w:rPr>
          <w:rFonts w:asciiTheme="minorHAnsi" w:hAnsiTheme="minorHAnsi"/>
          <w:color w:val="7F7F7F" w:themeColor="text1" w:themeTint="80"/>
          <w:sz w:val="26"/>
          <w:szCs w:val="26"/>
        </w:rPr>
        <w:t>.</w:t>
      </w:r>
    </w:p>
    <w:p w:rsidR="008B6F66" w:rsidRDefault="008B6F66" w:rsidP="005820E3">
      <w:pPr>
        <w:pStyle w:val="Default"/>
        <w:ind w:firstLine="708"/>
        <w:jc w:val="both"/>
        <w:rPr>
          <w:rFonts w:asciiTheme="minorHAnsi" w:hAnsiTheme="minorHAnsi"/>
          <w:color w:val="7F7F7F" w:themeColor="text1" w:themeTint="80"/>
          <w:sz w:val="26"/>
          <w:szCs w:val="26"/>
        </w:rPr>
      </w:pPr>
    </w:p>
    <w:p w:rsidR="008C61C6" w:rsidRPr="00992C9C" w:rsidRDefault="000954F8" w:rsidP="005820E3">
      <w:pPr>
        <w:pStyle w:val="Default"/>
        <w:ind w:firstLine="708"/>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rno de la Secretaría en mención, es la responsable de la coordinación y colaboración con otras autoridades, como lo serían las 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r w:rsidR="003D0914">
        <w:rPr>
          <w:rFonts w:asciiTheme="minorHAnsi" w:hAnsiTheme="minorHAnsi"/>
          <w:color w:val="767171" w:themeColor="background2" w:themeShade="80"/>
          <w:sz w:val="26"/>
          <w:szCs w:val="26"/>
        </w:rPr>
        <w:t xml:space="preserve">. . . . . . . . . </w:t>
      </w:r>
    </w:p>
    <w:p w:rsidR="00DB641E" w:rsidRDefault="00DB641E" w:rsidP="00CA2C14">
      <w:pPr>
        <w:pStyle w:val="Default"/>
        <w:jc w:val="both"/>
        <w:rPr>
          <w:rFonts w:asciiTheme="minorHAnsi" w:hAnsiTheme="minorHAnsi"/>
          <w:color w:val="7F7F7F" w:themeColor="text1" w:themeTint="80"/>
          <w:sz w:val="26"/>
          <w:szCs w:val="26"/>
        </w:rPr>
      </w:pPr>
    </w:p>
    <w:p w:rsidR="00343E70" w:rsidRPr="00A8545F" w:rsidRDefault="00706056" w:rsidP="00A8545F">
      <w:pPr>
        <w:pStyle w:val="Default"/>
        <w:ind w:firstLine="708"/>
        <w:jc w:val="both"/>
        <w:rPr>
          <w:rFonts w:asciiTheme="minorHAnsi" w:hAnsiTheme="minorHAnsi"/>
          <w:color w:val="FF000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con cruce de apuestas en cualquiera de sus modalidades, de los prohibidos por la ley o que no cuenten con la autorización 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833B37">
        <w:rPr>
          <w:rFonts w:asciiTheme="minorHAnsi" w:hAnsiTheme="minorHAnsi"/>
          <w:i/>
          <w:color w:val="767171" w:themeColor="background2" w:themeShade="80"/>
          <w:sz w:val="26"/>
          <w:szCs w:val="26"/>
        </w:rPr>
        <w:t>“juegos de azar o con cruce de apuesta”,</w:t>
      </w:r>
      <w:r w:rsidR="00A8545F"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00DB641E"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00DB641E"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no son atribuibles en concreto al Titular de esa Dirección General</w:t>
      </w:r>
      <w:r w:rsidRPr="00833B37">
        <w:rPr>
          <w:rFonts w:ascii="Calibri" w:hAnsi="Calibri" w:cs="Calibri"/>
          <w:bCs/>
          <w:iCs/>
          <w:color w:val="767171" w:themeColor="background2" w:themeShade="80"/>
          <w:sz w:val="26"/>
          <w:szCs w:val="26"/>
        </w:rPr>
        <w:t>, salvo que existiera una convenio de coordinación y colaboración, lo que en la especie no se presenta, pues el Director enjuiciado no aportó ningún medio de prueba que llevara a la convicción de la existencia de dicho convenio</w:t>
      </w:r>
      <w:r w:rsidR="00343E70" w:rsidRPr="00833B37">
        <w:rPr>
          <w:rFonts w:ascii="Calibri" w:hAnsi="Calibri" w:cs="Calibri"/>
          <w:bCs/>
          <w:iCs/>
          <w:color w:val="767171" w:themeColor="background2" w:themeShade="80"/>
          <w:sz w:val="26"/>
          <w:szCs w:val="26"/>
        </w:rPr>
        <w:t xml:space="preserve">. . . . . . . </w:t>
      </w:r>
      <w:r w:rsidR="00DB641E" w:rsidRPr="00833B37">
        <w:rPr>
          <w:rFonts w:ascii="Calibri" w:hAnsi="Calibri" w:cs="Calibri"/>
          <w:bCs/>
          <w:iCs/>
          <w:color w:val="767171" w:themeColor="background2" w:themeShade="80"/>
          <w:sz w:val="26"/>
          <w:szCs w:val="26"/>
        </w:rPr>
        <w:t xml:space="preserve">. . . . </w:t>
      </w:r>
    </w:p>
    <w:p w:rsidR="00343E70" w:rsidRPr="00833B37" w:rsidRDefault="00343E70" w:rsidP="00DB641E">
      <w:pPr>
        <w:pStyle w:val="Sangra3detindependiente"/>
        <w:ind w:left="0"/>
        <w:rPr>
          <w:rFonts w:ascii="Calibri" w:hAnsi="Calibri" w:cs="Calibri"/>
          <w:bCs/>
          <w:iCs/>
          <w:color w:val="7F7F7F" w:themeColor="text1" w:themeTint="80"/>
          <w:sz w:val="26"/>
          <w:szCs w:val="26"/>
          <w:lang w:val="es-MX"/>
        </w:rPr>
      </w:pPr>
    </w:p>
    <w:p w:rsidR="00FF7E91"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 xml:space="preserve">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contenida dicha norma; y la motivación en el razonamiento inherente a las </w:t>
      </w:r>
    </w:p>
    <w:p w:rsidR="00FF7E91" w:rsidRDefault="00FF7E91" w:rsidP="00FF7E91">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538/2015-JN</w:t>
      </w:r>
    </w:p>
    <w:p w:rsidR="00FF7E91" w:rsidRDefault="00FF7E91" w:rsidP="00343E70">
      <w:pPr>
        <w:jc w:val="both"/>
        <w:rPr>
          <w:rFonts w:ascii="Calibri" w:hAnsi="Calibri" w:cs="Calibri"/>
          <w:bCs/>
          <w:iCs/>
          <w:color w:val="7F7F7F" w:themeColor="text1" w:themeTint="80"/>
          <w:sz w:val="26"/>
          <w:szCs w:val="26"/>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circunstancias del hecho, contenidas en el texto del acto, para establecer la adecuación de la conducta del gobernado en el supuesto jurídico establecido por 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w:t>
      </w:r>
      <w:r w:rsidR="00A17A21">
        <w:rPr>
          <w:rFonts w:ascii="Calibri" w:hAnsi="Calibri" w:cs="Calibri"/>
          <w:bCs/>
          <w:iCs/>
          <w:color w:val="7F7F7F" w:themeColor="text1" w:themeTint="80"/>
          <w:sz w:val="26"/>
          <w:szCs w:val="26"/>
        </w:rPr>
        <w:t xml:space="preserve">de inspección </w:t>
      </w:r>
      <w:r w:rsidRPr="00521436">
        <w:rPr>
          <w:rFonts w:ascii="Calibri" w:hAnsi="Calibri" w:cs="Calibri"/>
          <w:bCs/>
          <w:iCs/>
          <w:color w:val="7F7F7F" w:themeColor="text1" w:themeTint="80"/>
          <w:sz w:val="26"/>
          <w:szCs w:val="26"/>
        </w:rPr>
        <w:t xml:space="preserve">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su caso resulten aplicables</w:t>
      </w:r>
      <w:r w:rsidRPr="00521436">
        <w:rPr>
          <w:rFonts w:ascii="Calibri" w:hAnsi="Calibri" w:cs="Calibri"/>
          <w:bCs/>
          <w:iCs/>
          <w:color w:val="7F7F7F" w:themeColor="text1" w:themeTint="80"/>
          <w:sz w:val="26"/>
          <w:szCs w:val="26"/>
        </w:rPr>
        <w:t xml:space="preserve">; así como la descripción pormenorizada de las </w:t>
      </w:r>
      <w:r w:rsidRPr="00521436">
        <w:rPr>
          <w:rFonts w:ascii="Calibri" w:hAnsi="Calibri" w:cs="Calibri"/>
          <w:bCs/>
          <w:iCs/>
          <w:color w:val="7F7F7F" w:themeColor="text1" w:themeTint="80"/>
          <w:sz w:val="26"/>
          <w:szCs w:val="26"/>
        </w:rPr>
        <w:lastRenderedPageBreak/>
        <w:t xml:space="preserve">circunstancias del caso; de ahí que en el caso concreto, no se citaron los dispositivos, párrafos e inciso del Reglamento aplicable, relativos a la competencia del </w:t>
      </w:r>
      <w:r w:rsidR="00DB641E">
        <w:rPr>
          <w:rFonts w:ascii="Calibri" w:hAnsi="Calibri" w:cs="Calibri"/>
          <w:bCs/>
          <w:iCs/>
          <w:color w:val="7F7F7F" w:themeColor="text1" w:themeTint="80"/>
          <w:sz w:val="26"/>
          <w:szCs w:val="26"/>
        </w:rPr>
        <w:t>demandado para emitir ordenes de visita en materia de juegos 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competencia del Direc</w:t>
      </w:r>
      <w:r w:rsidR="0047616C">
        <w:rPr>
          <w:rFonts w:ascii="Calibri" w:hAnsi="Calibri" w:cs="Calibri"/>
          <w:bCs/>
          <w:iCs/>
          <w:color w:val="7F7F7F" w:themeColor="text1" w:themeTint="80"/>
          <w:sz w:val="26"/>
          <w:szCs w:val="26"/>
        </w:rPr>
        <w:t>tor General de Fiscalización y C</w:t>
      </w:r>
      <w:r w:rsidR="00DB641E">
        <w:rPr>
          <w:rFonts w:ascii="Calibri" w:hAnsi="Calibri" w:cs="Calibri"/>
          <w:bCs/>
          <w:iCs/>
          <w:color w:val="7F7F7F" w:themeColor="text1" w:themeTint="80"/>
          <w:sz w:val="26"/>
          <w:szCs w:val="26"/>
        </w:rPr>
        <w:t>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r w:rsidR="00FF7E91">
        <w:rPr>
          <w:rFonts w:ascii="Calibri" w:hAnsi="Calibri" w:cs="Calibri"/>
          <w:bCs/>
          <w:iCs/>
          <w:color w:val="7F7F7F" w:themeColor="text1" w:themeTint="80"/>
          <w:sz w:val="26"/>
          <w:szCs w:val="26"/>
        </w:rPr>
        <w:t xml:space="preserve">. . . . . . . . . . . </w:t>
      </w:r>
    </w:p>
    <w:p w:rsidR="00833B37" w:rsidRDefault="00833B37" w:rsidP="00562A66">
      <w:pPr>
        <w:pStyle w:val="CABEZAS"/>
        <w:tabs>
          <w:tab w:val="left" w:pos="1134"/>
        </w:tabs>
        <w:jc w:val="both"/>
        <w:rPr>
          <w:rFonts w:ascii="Calibri" w:hAnsi="Calibri" w:cs="Calibri"/>
          <w:b w:val="0"/>
          <w:iCs/>
          <w:color w:val="7F7F7F" w:themeColor="text1" w:themeTint="80"/>
          <w:sz w:val="26"/>
          <w:szCs w:val="26"/>
          <w:lang w:val="es-ES"/>
        </w:rPr>
      </w:pPr>
    </w:p>
    <w:p w:rsidR="009E15DC" w:rsidRPr="00562A66" w:rsidRDefault="00833B37" w:rsidP="00562A66">
      <w:pPr>
        <w:pStyle w:val="CABEZAS"/>
        <w:tabs>
          <w:tab w:val="left" w:pos="1134"/>
        </w:tabs>
        <w:jc w:val="both"/>
        <w:rPr>
          <w:rFonts w:ascii="Calibri" w:hAnsi="Calibri" w:cs="Calibri"/>
          <w:bCs w:val="0"/>
          <w:iCs/>
          <w:color w:val="7F7F7F" w:themeColor="text1" w:themeTint="80"/>
          <w:sz w:val="26"/>
          <w:szCs w:val="26"/>
          <w:lang w:val="es-MX"/>
        </w:rPr>
      </w:pPr>
      <w:r>
        <w:rPr>
          <w:rFonts w:ascii="Calibri" w:hAnsi="Calibri" w:cs="Calibri"/>
          <w:bCs w:val="0"/>
          <w:iCs/>
          <w:color w:val="7F7F7F" w:themeColor="text1" w:themeTint="80"/>
          <w:sz w:val="26"/>
          <w:szCs w:val="26"/>
          <w:lang w:val="es-ES"/>
        </w:rPr>
        <w:t xml:space="preserve">             </w:t>
      </w:r>
      <w:r w:rsidR="009E15DC" w:rsidRPr="00562A66">
        <w:rPr>
          <w:rFonts w:ascii="Calibri" w:hAnsi="Calibri" w:cs="Calibri"/>
          <w:b w:val="0"/>
          <w:bCs w:val="0"/>
          <w:iCs/>
          <w:color w:val="7F7F7F" w:themeColor="text1" w:themeTint="80"/>
          <w:sz w:val="26"/>
          <w:szCs w:val="26"/>
          <w:lang w:val="es-MX"/>
        </w:rPr>
        <w:t xml:space="preserve">Por lo que hace a lo </w:t>
      </w:r>
      <w:r w:rsidR="005D15CD" w:rsidRPr="00562A66">
        <w:rPr>
          <w:rFonts w:ascii="Calibri" w:hAnsi="Calibri" w:cs="Calibri"/>
          <w:b w:val="0"/>
          <w:bCs w:val="0"/>
          <w:iCs/>
          <w:color w:val="7F7F7F" w:themeColor="text1" w:themeTint="80"/>
          <w:sz w:val="26"/>
          <w:szCs w:val="26"/>
          <w:lang w:val="es-MX"/>
        </w:rPr>
        <w:t>dispuesto en los artículos 30</w:t>
      </w:r>
      <w:r w:rsidR="00B62D66"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y 31 del Reglamento para el funcionamiento de Establecimientos Comerciales y de servicios en el Municipio de León, Guanajuato;</w:t>
      </w:r>
      <w:r w:rsidR="00562A66" w:rsidRPr="00562A66">
        <w:rPr>
          <w:rFonts w:ascii="Calibri" w:hAnsi="Calibri" w:cs="Calibri"/>
          <w:b w:val="0"/>
          <w:bCs w:val="0"/>
          <w:iCs/>
          <w:color w:val="7F7F7F" w:themeColor="text1" w:themeTint="80"/>
          <w:sz w:val="26"/>
          <w:szCs w:val="26"/>
          <w:lang w:val="es-MX"/>
        </w:rPr>
        <w:t xml:space="preserve"> debe decirse que tales preceptos no resultan aplicables al caso concreto, puest</w:t>
      </w:r>
      <w:r w:rsidR="00562A66">
        <w:rPr>
          <w:rFonts w:ascii="Calibri" w:hAnsi="Calibri" w:cs="Calibri"/>
          <w:b w:val="0"/>
          <w:bCs w:val="0"/>
          <w:iCs/>
          <w:color w:val="7F7F7F" w:themeColor="text1" w:themeTint="80"/>
          <w:sz w:val="26"/>
          <w:szCs w:val="26"/>
          <w:lang w:val="es-MX"/>
        </w:rPr>
        <w:t xml:space="preserve">o que los mismos se refieren a los establecimientos comerciales y de servicios con venta de bebidas alcohólicas, esto es, a los contenidos en el Título Segundo del Reglamento citado; siendo evidente que no se trata del supuesto que se ventila en el presente asunto, que se refiere a </w:t>
      </w:r>
      <w:r w:rsidR="00FE6FD0">
        <w:rPr>
          <w:rFonts w:ascii="Calibri" w:hAnsi="Calibri" w:cs="Calibri"/>
          <w:b w:val="0"/>
          <w:bCs w:val="0"/>
          <w:iCs/>
          <w:color w:val="7F7F7F" w:themeColor="text1" w:themeTint="80"/>
          <w:sz w:val="26"/>
          <w:szCs w:val="26"/>
          <w:lang w:val="es-MX"/>
        </w:rPr>
        <w:t>un local comercial</w:t>
      </w:r>
      <w:r w:rsidR="00981D66">
        <w:rPr>
          <w:rFonts w:ascii="Calibri" w:hAnsi="Calibri" w:cs="Calibri"/>
          <w:b w:val="0"/>
          <w:bCs w:val="0"/>
          <w:iCs/>
          <w:color w:val="7F7F7F" w:themeColor="text1" w:themeTint="80"/>
          <w:sz w:val="26"/>
          <w:szCs w:val="26"/>
          <w:lang w:val="es-MX"/>
        </w:rPr>
        <w:t xml:space="preserve"> </w:t>
      </w:r>
      <w:r w:rsidR="00562A66">
        <w:rPr>
          <w:rFonts w:ascii="Calibri" w:hAnsi="Calibri" w:cs="Calibri"/>
          <w:b w:val="0"/>
          <w:bCs w:val="0"/>
          <w:iCs/>
          <w:color w:val="7F7F7F" w:themeColor="text1" w:themeTint="80"/>
          <w:sz w:val="26"/>
          <w:szCs w:val="26"/>
          <w:lang w:val="es-MX"/>
        </w:rPr>
        <w:t xml:space="preserve">en </w:t>
      </w:r>
      <w:r w:rsidR="00FE6FD0">
        <w:rPr>
          <w:rFonts w:ascii="Calibri" w:hAnsi="Calibri" w:cs="Calibri"/>
          <w:b w:val="0"/>
          <w:bCs w:val="0"/>
          <w:iCs/>
          <w:color w:val="7F7F7F" w:themeColor="text1" w:themeTint="80"/>
          <w:sz w:val="26"/>
          <w:szCs w:val="26"/>
          <w:lang w:val="es-MX"/>
        </w:rPr>
        <w:t>el</w:t>
      </w:r>
      <w:r w:rsidR="00562A66">
        <w:rPr>
          <w:rFonts w:ascii="Calibri" w:hAnsi="Calibri" w:cs="Calibri"/>
          <w:b w:val="0"/>
          <w:bCs w:val="0"/>
          <w:iCs/>
          <w:color w:val="7F7F7F" w:themeColor="text1" w:themeTint="80"/>
          <w:sz w:val="26"/>
          <w:szCs w:val="26"/>
          <w:lang w:val="es-MX"/>
        </w:rPr>
        <w:t xml:space="preserve"> que existe una máquina</w:t>
      </w:r>
      <w:r w:rsidR="00363074">
        <w:rPr>
          <w:rFonts w:ascii="Calibri" w:hAnsi="Calibri" w:cs="Calibri"/>
          <w:b w:val="0"/>
          <w:bCs w:val="0"/>
          <w:iCs/>
          <w:color w:val="7F7F7F" w:themeColor="text1" w:themeTint="80"/>
          <w:sz w:val="26"/>
          <w:szCs w:val="26"/>
          <w:lang w:val="es-MX"/>
        </w:rPr>
        <w:t xml:space="preserve"> electrónica de las conocidas como tragamonedas. . . . . . . . . . . . . . </w:t>
      </w:r>
      <w:r>
        <w:rPr>
          <w:rFonts w:ascii="Calibri" w:hAnsi="Calibri" w:cs="Calibri"/>
          <w:b w:val="0"/>
          <w:bCs w:val="0"/>
          <w:iCs/>
          <w:color w:val="7F7F7F" w:themeColor="text1" w:themeTint="80"/>
          <w:sz w:val="26"/>
          <w:szCs w:val="26"/>
          <w:lang w:val="es-MX"/>
        </w:rPr>
        <w:t xml:space="preserve">. . . . . . . . . . </w:t>
      </w:r>
      <w:r w:rsidR="00FF7E91">
        <w:rPr>
          <w:rFonts w:ascii="Calibri" w:hAnsi="Calibri" w:cs="Calibri"/>
          <w:b w:val="0"/>
          <w:bCs w:val="0"/>
          <w:iCs/>
          <w:color w:val="7F7F7F" w:themeColor="text1" w:themeTint="80"/>
          <w:sz w:val="26"/>
          <w:szCs w:val="26"/>
          <w:lang w:val="es-MX"/>
        </w:rPr>
        <w:t xml:space="preserve">. . . . . . . . . . . . . . . . . . . . . . . . . . . . . . . . . </w:t>
      </w:r>
    </w:p>
    <w:p w:rsidR="009E15DC" w:rsidRPr="00AC308A" w:rsidRDefault="009E15DC" w:rsidP="00C46636">
      <w:pPr>
        <w:jc w:val="both"/>
        <w:rPr>
          <w:rFonts w:ascii="Calibri" w:hAnsi="Calibri" w:cs="Calibri"/>
          <w:bCs/>
          <w:iCs/>
          <w:color w:val="767171" w:themeColor="background2" w:themeShade="80"/>
          <w:sz w:val="26"/>
          <w:szCs w:val="26"/>
          <w:lang w:val="es-MX"/>
        </w:rPr>
      </w:pPr>
    </w:p>
    <w:p w:rsidR="00AC308A" w:rsidRPr="00AC308A" w:rsidRDefault="00AC308A" w:rsidP="00AC308A">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AC308A">
        <w:rPr>
          <w:rFonts w:asciiTheme="minorHAnsi" w:hAnsiTheme="minorHAnsi" w:cs="Arial"/>
          <w:b/>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 xml:space="preserve">a Dirección General de 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p>
    <w:p w:rsidR="00FF7E91" w:rsidRDefault="00FF7E91" w:rsidP="009661F2">
      <w:pPr>
        <w:pStyle w:val="CABEZAS"/>
        <w:tabs>
          <w:tab w:val="left" w:pos="1134"/>
        </w:tabs>
        <w:jc w:val="both"/>
        <w:rPr>
          <w:rFonts w:ascii="Calibri" w:hAnsi="Calibri" w:cs="Calibri"/>
          <w:b w:val="0"/>
          <w:iCs/>
          <w:color w:val="7F7F7F" w:themeColor="text1" w:themeTint="80"/>
          <w:sz w:val="26"/>
          <w:szCs w:val="26"/>
          <w:lang w:val="es-MX"/>
        </w:rPr>
      </w:pPr>
    </w:p>
    <w:p w:rsidR="009661F2" w:rsidRPr="009661F2" w:rsidRDefault="00FF7E91" w:rsidP="009661F2">
      <w:pPr>
        <w:pStyle w:val="CABEZAS"/>
        <w:tabs>
          <w:tab w:val="left" w:pos="1134"/>
        </w:tabs>
        <w:jc w:val="both"/>
        <w:rPr>
          <w:rFonts w:asciiTheme="minorHAnsi" w:hAnsiTheme="minorHAnsi" w:cs="Arial"/>
          <w:b w:val="0"/>
          <w:color w:val="767171" w:themeColor="background2" w:themeShade="80"/>
          <w:sz w:val="26"/>
          <w:szCs w:val="26"/>
          <w:lang w:val="es-MX"/>
        </w:rPr>
      </w:pPr>
      <w:r>
        <w:rPr>
          <w:rFonts w:ascii="Calibri" w:hAnsi="Calibri" w:cs="Calibri"/>
          <w:b w:val="0"/>
          <w:bCs w:val="0"/>
          <w:iCs/>
          <w:color w:val="767171" w:themeColor="background2" w:themeShade="80"/>
          <w:sz w:val="26"/>
          <w:szCs w:val="26"/>
          <w:lang w:val="es-MX"/>
        </w:rPr>
        <w:t xml:space="preserve">           </w:t>
      </w:r>
      <w:r w:rsidR="003D0B6B" w:rsidRPr="009661F2">
        <w:rPr>
          <w:rFonts w:ascii="Calibri" w:hAnsi="Calibri" w:cs="Calibri"/>
          <w:b w:val="0"/>
          <w:bCs w:val="0"/>
          <w:iCs/>
          <w:color w:val="767171" w:themeColor="background2" w:themeShade="80"/>
          <w:sz w:val="26"/>
          <w:szCs w:val="26"/>
          <w:lang w:val="es-MX"/>
        </w:rPr>
        <w:t>Ahora bien, las atribuciones de la dependencia en cuestión, de acuerdo a lo que se desprende del propio Reglamento de Establecimientos comerciales y de servicios antes anotado, se circunscribe</w:t>
      </w:r>
      <w:r w:rsidR="009A23DB">
        <w:rPr>
          <w:rFonts w:ascii="Calibri" w:hAnsi="Calibri" w:cs="Calibri"/>
          <w:b w:val="0"/>
          <w:bCs w:val="0"/>
          <w:iCs/>
          <w:color w:val="767171" w:themeColor="background2" w:themeShade="80"/>
          <w:sz w:val="26"/>
          <w:szCs w:val="26"/>
          <w:lang w:val="es-MX"/>
        </w:rPr>
        <w:t>n</w:t>
      </w:r>
      <w:r w:rsidR="003D0B6B" w:rsidRPr="009661F2">
        <w:rPr>
          <w:rFonts w:ascii="Calibri" w:hAnsi="Calibri" w:cs="Calibri"/>
          <w:b w:val="0"/>
          <w:bCs w:val="0"/>
          <w:iCs/>
          <w:color w:val="767171" w:themeColor="background2" w:themeShade="80"/>
          <w:sz w:val="26"/>
          <w:szCs w:val="26"/>
          <w:lang w:val="es-MX"/>
        </w:rPr>
        <w:t xml:space="preserve"> a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billares, futbolitos, máquinas de video juegos, aparatos de sonido en la vía pública, juegos mecánicos en la vía pública, salones para fiestas y, </w:t>
      </w:r>
      <w:proofErr w:type="spellStart"/>
      <w:r w:rsidR="009A23DB">
        <w:rPr>
          <w:rFonts w:asciiTheme="minorHAnsi" w:hAnsiTheme="minorHAnsi" w:cs="Arial"/>
          <w:b w:val="0"/>
          <w:color w:val="767171" w:themeColor="background2" w:themeShade="80"/>
          <w:sz w:val="26"/>
          <w:szCs w:val="26"/>
          <w:lang w:val="es-MX"/>
        </w:rPr>
        <w:t>sinfonolas</w:t>
      </w:r>
      <w:proofErr w:type="spellEnd"/>
      <w:r w:rsidR="009A23DB">
        <w:rPr>
          <w:rFonts w:asciiTheme="minorHAnsi" w:hAnsiTheme="minorHAnsi" w:cs="Arial"/>
          <w:b w:val="0"/>
          <w:color w:val="767171" w:themeColor="background2" w:themeShade="80"/>
          <w:sz w:val="26"/>
          <w:szCs w:val="26"/>
          <w:lang w:val="es-MX"/>
        </w:rPr>
        <w:t xml:space="preserve">. . . . . . . . . . . . </w:t>
      </w:r>
    </w:p>
    <w:p w:rsidR="003D0B6B" w:rsidRPr="00363074" w:rsidRDefault="003D0B6B" w:rsidP="00C46636">
      <w:pPr>
        <w:jc w:val="both"/>
        <w:rPr>
          <w:rFonts w:ascii="Calibri" w:hAnsi="Calibri" w:cs="Calibri"/>
          <w:bCs/>
          <w:iCs/>
          <w:color w:val="7F7F7F" w:themeColor="text1" w:themeTint="80"/>
          <w:sz w:val="26"/>
          <w:szCs w:val="26"/>
          <w:lang w:val="es-MX"/>
        </w:rPr>
      </w:pPr>
    </w:p>
    <w:p w:rsidR="00FA04C4" w:rsidRPr="007A0F71" w:rsidRDefault="00343E70" w:rsidP="007A0F71">
      <w:pPr>
        <w:ind w:firstLine="708"/>
        <w:jc w:val="both"/>
        <w:rPr>
          <w:rFonts w:ascii="Calibri" w:hAnsi="Calibri"/>
          <w:bCs/>
          <w:color w:val="7F7F7F" w:themeColor="text1" w:themeTint="80"/>
          <w:sz w:val="26"/>
          <w:szCs w:val="26"/>
        </w:rPr>
      </w:pPr>
      <w:r w:rsidRPr="00521436">
        <w:rPr>
          <w:rFonts w:ascii="Calibri" w:hAnsi="Calibri" w:cs="Calibri"/>
          <w:bCs/>
          <w:iCs/>
          <w:color w:val="7F7F7F" w:themeColor="text1" w:themeTint="80"/>
          <w:sz w:val="26"/>
          <w:szCs w:val="26"/>
        </w:rPr>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w:t>
      </w:r>
      <w:r w:rsidR="00A17A21">
        <w:rPr>
          <w:rFonts w:ascii="Calibri" w:hAnsi="Calibri" w:cs="Calibri"/>
          <w:bCs/>
          <w:iCs/>
          <w:color w:val="7F7F7F" w:themeColor="text1" w:themeTint="80"/>
          <w:sz w:val="26"/>
          <w:szCs w:val="26"/>
        </w:rPr>
        <w:t xml:space="preserve"> de inspección</w:t>
      </w:r>
      <w:r w:rsidR="00F54858">
        <w:rPr>
          <w:rFonts w:ascii="Calibri" w:hAnsi="Calibri" w:cs="Calibri"/>
          <w:bCs/>
          <w:iCs/>
          <w:color w:val="7F7F7F" w:themeColor="text1" w:themeTint="80"/>
          <w:sz w:val="26"/>
          <w:szCs w:val="26"/>
        </w:rPr>
        <w:t xml:space="preserve">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w:t>
      </w:r>
      <w:r w:rsidRPr="00981D66">
        <w:rPr>
          <w:rFonts w:ascii="Calibri" w:hAnsi="Calibri" w:cs="Calibri"/>
          <w:b/>
          <w:bCs/>
          <w:iCs/>
          <w:color w:val="7F7F7F" w:themeColor="text1" w:themeTint="80"/>
          <w:sz w:val="26"/>
          <w:szCs w:val="26"/>
        </w:rPr>
        <w:t>decretar</w:t>
      </w:r>
      <w:r w:rsidRPr="00521436">
        <w:rPr>
          <w:rFonts w:ascii="Calibri" w:hAnsi="Calibri" w:cs="Calibri"/>
          <w:bCs/>
          <w:iCs/>
          <w:color w:val="7F7F7F" w:themeColor="text1" w:themeTint="80"/>
          <w:sz w:val="26"/>
          <w:szCs w:val="26"/>
        </w:rPr>
        <w:t xml:space="preserve">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2C2B92">
        <w:rPr>
          <w:rFonts w:ascii="Calibri" w:hAnsi="Calibri"/>
          <w:b/>
          <w:color w:val="7F7F7F" w:themeColor="text1" w:themeTint="80"/>
          <w:sz w:val="26"/>
          <w:szCs w:val="26"/>
        </w:rPr>
        <w:t xml:space="preserve">21 </w:t>
      </w:r>
      <w:r w:rsidR="002C2B92" w:rsidRPr="00591544">
        <w:rPr>
          <w:rFonts w:ascii="Calibri" w:hAnsi="Calibri"/>
          <w:color w:val="7F7F7F" w:themeColor="text1" w:themeTint="80"/>
          <w:sz w:val="26"/>
          <w:szCs w:val="26"/>
        </w:rPr>
        <w:t xml:space="preserve">veintiuno de </w:t>
      </w:r>
      <w:r w:rsidR="002C2B92">
        <w:rPr>
          <w:rFonts w:ascii="Calibri" w:hAnsi="Calibri"/>
          <w:b/>
          <w:color w:val="7F7F7F" w:themeColor="text1" w:themeTint="80"/>
          <w:sz w:val="26"/>
          <w:szCs w:val="26"/>
        </w:rPr>
        <w:t>mayo</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w:t>
      </w:r>
      <w:r w:rsidR="002C2B92">
        <w:rPr>
          <w:rFonts w:ascii="Calibri" w:hAnsi="Calibri"/>
          <w:b/>
          <w:color w:val="7F7F7F" w:themeColor="text1" w:themeTint="80"/>
          <w:sz w:val="26"/>
          <w:szCs w:val="26"/>
        </w:rPr>
        <w:t>0291</w:t>
      </w:r>
      <w:r w:rsidR="00A57007" w:rsidRPr="00F54858">
        <w:rPr>
          <w:rFonts w:ascii="Calibri" w:hAnsi="Calibri"/>
          <w:b/>
          <w:color w:val="7F7F7F" w:themeColor="text1" w:themeTint="80"/>
          <w:sz w:val="26"/>
          <w:szCs w:val="26"/>
        </w:rPr>
        <w:t>/2015-JA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 xml:space="preserve">y por ende, también se </w:t>
      </w:r>
      <w:r w:rsidR="008C282C">
        <w:rPr>
          <w:rFonts w:ascii="Calibri" w:hAnsi="Calibri"/>
          <w:color w:val="7F7F7F" w:themeColor="text1" w:themeTint="80"/>
          <w:sz w:val="26"/>
          <w:szCs w:val="26"/>
        </w:rPr>
        <w:t>concreta</w:t>
      </w:r>
      <w:r w:rsidR="006E5AA9">
        <w:rPr>
          <w:rFonts w:ascii="Calibri" w:hAnsi="Calibri"/>
          <w:color w:val="7F7F7F" w:themeColor="text1" w:themeTint="80"/>
          <w:sz w:val="26"/>
          <w:szCs w:val="26"/>
        </w:rPr>
        <w:t xml:space="preserve">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actos que se </w:t>
      </w:r>
      <w:r w:rsidR="00FA04C4" w:rsidRPr="00F9490B">
        <w:rPr>
          <w:rFonts w:ascii="Calibri" w:hAnsi="Calibri"/>
          <w:bCs/>
          <w:color w:val="7F7F7F" w:themeColor="text1" w:themeTint="80"/>
          <w:sz w:val="26"/>
          <w:szCs w:val="26"/>
        </w:rPr>
        <w:lastRenderedPageBreak/>
        <w:t xml:space="preserve">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visita de 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orden de clausura</w:t>
      </w:r>
      <w:r w:rsidR="00591544">
        <w:rPr>
          <w:rFonts w:ascii="Calibri" w:hAnsi="Calibri"/>
          <w:bCs/>
          <w:color w:val="7F7F7F" w:themeColor="text1" w:themeTint="80"/>
          <w:sz w:val="26"/>
          <w:szCs w:val="26"/>
        </w:rPr>
        <w:t xml:space="preserve">; y, el </w:t>
      </w:r>
      <w:r w:rsidR="00591544" w:rsidRPr="00F54858">
        <w:rPr>
          <w:rFonts w:ascii="Calibri" w:hAnsi="Calibri"/>
          <w:b/>
          <w:bCs/>
          <w:color w:val="7F7F7F" w:themeColor="text1" w:themeTint="80"/>
          <w:sz w:val="26"/>
          <w:szCs w:val="26"/>
        </w:rPr>
        <w:t>acta circunstanciada de fijación de sellos de clausura</w:t>
      </w:r>
      <w:r w:rsidR="00591544">
        <w:rPr>
          <w:rFonts w:ascii="Calibri" w:hAnsi="Calibri"/>
          <w:bCs/>
          <w:color w:val="7F7F7F" w:themeColor="text1" w:themeTint="80"/>
          <w:sz w:val="26"/>
          <w:szCs w:val="26"/>
        </w:rPr>
        <w:t xml:space="preserve">;  todos </w:t>
      </w:r>
      <w:r w:rsidR="00591544" w:rsidRPr="00F9490B">
        <w:rPr>
          <w:rFonts w:ascii="Calibri" w:hAnsi="Calibri"/>
          <w:bCs/>
          <w:color w:val="7F7F7F" w:themeColor="text1" w:themeTint="80"/>
          <w:sz w:val="26"/>
          <w:szCs w:val="26"/>
        </w:rPr>
        <w:t xml:space="preserve">de </w:t>
      </w:r>
      <w:r w:rsidR="00591544">
        <w:rPr>
          <w:rFonts w:ascii="Calibri" w:hAnsi="Calibri"/>
          <w:bCs/>
          <w:color w:val="7F7F7F" w:themeColor="text1" w:themeTint="80"/>
          <w:sz w:val="26"/>
          <w:szCs w:val="26"/>
        </w:rPr>
        <w:t xml:space="preserve">la </w:t>
      </w:r>
      <w:r w:rsidR="00591544" w:rsidRPr="00F9490B">
        <w:rPr>
          <w:rFonts w:ascii="Calibri" w:hAnsi="Calibri"/>
          <w:bCs/>
          <w:color w:val="7F7F7F" w:themeColor="text1" w:themeTint="80"/>
          <w:sz w:val="26"/>
          <w:szCs w:val="26"/>
        </w:rPr>
        <w:t>misma fecha que la de la orden</w:t>
      </w:r>
      <w:r w:rsidR="00591544">
        <w:rPr>
          <w:rFonts w:ascii="Calibri" w:hAnsi="Calibri"/>
          <w:bCs/>
          <w:color w:val="7F7F7F" w:themeColor="text1" w:themeTint="80"/>
          <w:sz w:val="26"/>
          <w:szCs w:val="26"/>
        </w:rPr>
        <w:t xml:space="preserve"> de visita de inspección y</w:t>
      </w:r>
      <w:r w:rsidR="00591544" w:rsidRPr="00F9490B">
        <w:rPr>
          <w:rFonts w:ascii="Calibri" w:hAnsi="Calibri"/>
          <w:bCs/>
          <w:color w:val="7F7F7F" w:themeColor="text1" w:themeTint="80"/>
          <w:sz w:val="26"/>
          <w:szCs w:val="26"/>
        </w:rPr>
        <w:t xml:space="preserve"> co</w:t>
      </w:r>
      <w:r w:rsidR="00591544" w:rsidRPr="00F9490B">
        <w:rPr>
          <w:rFonts w:ascii="Calibri" w:hAnsi="Calibri"/>
          <w:color w:val="7F7F7F" w:themeColor="text1" w:themeTint="80"/>
          <w:sz w:val="26"/>
          <w:szCs w:val="26"/>
        </w:rPr>
        <w:t>n el mismo número de expediente</w:t>
      </w:r>
      <w:r w:rsidR="00EC668E">
        <w:rPr>
          <w:rFonts w:ascii="Calibri" w:hAnsi="Calibri"/>
          <w:bCs/>
          <w:color w:val="7F7F7F" w:themeColor="text1" w:themeTint="80"/>
          <w:sz w:val="26"/>
          <w:szCs w:val="26"/>
        </w:rPr>
        <w:t xml:space="preserve"> </w:t>
      </w:r>
      <w:r w:rsidR="007A0F71" w:rsidRPr="007A0F71">
        <w:rPr>
          <w:rFonts w:ascii="Calibri" w:hAnsi="Calibri"/>
          <w:bCs/>
          <w:color w:val="7F7F7F" w:themeColor="text1" w:themeTint="80"/>
          <w:sz w:val="26"/>
          <w:szCs w:val="26"/>
        </w:rPr>
        <w:t>y que, como ya se dijo, tienen su sustento y son consecuencia de una orden de visita de inspección emitida de manera ilegal</w:t>
      </w:r>
      <w:r w:rsidR="00FA04C4" w:rsidRPr="00F9490B">
        <w:rPr>
          <w:rFonts w:ascii="Calibri" w:hAnsi="Calibri"/>
          <w:color w:val="7F7F7F" w:themeColor="text1" w:themeTint="80"/>
          <w:sz w:val="26"/>
          <w:szCs w:val="27"/>
        </w:rPr>
        <w:t>.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r w:rsidR="00FF7E91">
        <w:rPr>
          <w:rFonts w:ascii="Calibri" w:hAnsi="Calibri"/>
          <w:color w:val="7F7F7F" w:themeColor="text1" w:themeTint="80"/>
          <w:sz w:val="26"/>
          <w:szCs w:val="27"/>
        </w:rPr>
        <w:t xml:space="preserve">. . . . . . . . . . . . . . . . . . </w:t>
      </w:r>
    </w:p>
    <w:p w:rsidR="00FA04C4" w:rsidRDefault="00FA04C4" w:rsidP="006E5AA9">
      <w:pPr>
        <w:ind w:firstLine="708"/>
        <w:jc w:val="both"/>
        <w:rPr>
          <w:rFonts w:ascii="Calibri" w:hAnsi="Calibri"/>
          <w:color w:val="7F7F7F" w:themeColor="text1" w:themeTint="80"/>
          <w:sz w:val="26"/>
          <w:szCs w:val="26"/>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r w:rsidR="00FF7E91">
        <w:rPr>
          <w:rFonts w:ascii="Calibri" w:hAnsi="Calibri" w:cs="Calibri"/>
          <w:bCs/>
          <w:iCs/>
          <w:color w:val="7F7F7F" w:themeColor="text1" w:themeTint="80"/>
          <w:sz w:val="26"/>
          <w:szCs w:val="26"/>
        </w:rPr>
        <w:t xml:space="preserve"> . . . . .</w:t>
      </w:r>
    </w:p>
    <w:p w:rsidR="004B3DFC" w:rsidRPr="00BF5CA7" w:rsidRDefault="004B3DFC" w:rsidP="00FA04C4">
      <w:pPr>
        <w:jc w:val="both"/>
        <w:rPr>
          <w:rFonts w:ascii="Calibri" w:hAnsi="Calibri"/>
          <w:color w:val="7F7F7F" w:themeColor="text1" w:themeTint="80"/>
          <w:sz w:val="22"/>
          <w:szCs w:val="22"/>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w:t>
      </w:r>
      <w:r w:rsidR="007A0F71">
        <w:rPr>
          <w:rFonts w:ascii="Calibri" w:hAnsi="Calibri"/>
          <w:color w:val="7F7F7F" w:themeColor="text1" w:themeTint="80"/>
          <w:sz w:val="26"/>
          <w:szCs w:val="26"/>
          <w:lang w:eastAsia="es-MX"/>
        </w:rPr>
        <w:t>antes razonado y expuesto</w:t>
      </w:r>
      <w:r w:rsidRPr="00BF5CA7">
        <w:rPr>
          <w:rFonts w:ascii="Calibri" w:hAnsi="Calibri"/>
          <w:color w:val="7F7F7F" w:themeColor="text1" w:themeTint="80"/>
          <w:sz w:val="26"/>
          <w:szCs w:val="26"/>
          <w:lang w:eastAsia="es-MX"/>
        </w:rPr>
        <w:t>, resulta aplicable el criterio del Tribunal Colegiado de Circuito mencionado en la siguiente jurisprude</w:t>
      </w:r>
      <w:r w:rsidR="00FF7E91">
        <w:rPr>
          <w:rFonts w:ascii="Calibri" w:hAnsi="Calibri"/>
          <w:color w:val="7F7F7F" w:themeColor="text1" w:themeTint="80"/>
          <w:sz w:val="26"/>
          <w:szCs w:val="26"/>
          <w:lang w:eastAsia="es-MX"/>
        </w:rPr>
        <w:t xml:space="preserve">ncia: . . . . . . . </w:t>
      </w:r>
    </w:p>
    <w:p w:rsidR="004B3DFC" w:rsidRPr="00BF5CA7" w:rsidRDefault="004B3DFC" w:rsidP="004B3DFC">
      <w:pPr>
        <w:autoSpaceDE w:val="0"/>
        <w:autoSpaceDN w:val="0"/>
        <w:adjustRightInd w:val="0"/>
        <w:rPr>
          <w:rFonts w:ascii="Calibri" w:hAnsi="Calibri" w:cs="Arial"/>
          <w:color w:val="7F7F7F" w:themeColor="text1" w:themeTint="80"/>
          <w:sz w:val="26"/>
          <w:szCs w:val="26"/>
          <w:lang w:val="es-MX" w:eastAsia="es-MX"/>
        </w:rPr>
      </w:pPr>
    </w:p>
    <w:p w:rsidR="004B3DFC" w:rsidRDefault="004B3DFC" w:rsidP="00FA04C4">
      <w:pPr>
        <w:autoSpaceDE w:val="0"/>
        <w:autoSpaceDN w:val="0"/>
        <w:adjustRightInd w:val="0"/>
        <w:ind w:firstLine="708"/>
        <w:jc w:val="both"/>
        <w:rPr>
          <w:rFonts w:ascii="Calibri" w:hAnsi="Calibri"/>
          <w:color w:val="7F7F7F" w:themeColor="text1" w:themeTint="80"/>
          <w:sz w:val="22"/>
          <w:szCs w:val="26"/>
          <w:lang w:val="es-MX" w:eastAsia="es-MX"/>
        </w:rPr>
      </w:pPr>
      <w:r w:rsidRPr="00BF5CA7">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p>
    <w:p w:rsidR="00F54858" w:rsidRDefault="00F54858" w:rsidP="00FA04C4">
      <w:pPr>
        <w:autoSpaceDE w:val="0"/>
        <w:autoSpaceDN w:val="0"/>
        <w:adjustRightInd w:val="0"/>
        <w:ind w:firstLine="708"/>
        <w:jc w:val="both"/>
        <w:rPr>
          <w:rFonts w:ascii="Calibri" w:hAnsi="Calibri"/>
          <w:color w:val="7F7F7F" w:themeColor="text1" w:themeTint="80"/>
          <w:sz w:val="22"/>
          <w:szCs w:val="26"/>
          <w:lang w:val="es-MX" w:eastAsia="es-MX"/>
        </w:rPr>
      </w:pPr>
    </w:p>
    <w:p w:rsidR="00FF7E91" w:rsidRDefault="00F54858" w:rsidP="00FF7E91">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Se considera importante resaltar que en el presente caso, también </w:t>
      </w:r>
      <w:r w:rsidRPr="00562F72">
        <w:rPr>
          <w:rFonts w:ascii="Calibri" w:hAnsi="Calibri" w:cs="Arial"/>
          <w:b/>
          <w:color w:val="7F7F7F" w:themeColor="text1" w:themeTint="80"/>
          <w:sz w:val="26"/>
          <w:szCs w:val="26"/>
        </w:rPr>
        <w:t>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00A32EE2" w:rsidRPr="00A32EE2">
        <w:rPr>
          <w:rFonts w:ascii="Calibri" w:hAnsi="Calibri" w:cs="Arial"/>
          <w:color w:val="7F7F7F" w:themeColor="text1" w:themeTint="80"/>
          <w:sz w:val="26"/>
          <w:szCs w:val="26"/>
        </w:rPr>
        <w:t xml:space="preserve">la denominación y el domicilio del establecimiento sobre el que se ejecutará la citada orden impugnada, la fecha del acta de inspección, los hechos y nombre </w:t>
      </w:r>
      <w:r w:rsidR="00A32EE2">
        <w:rPr>
          <w:rFonts w:ascii="Calibri" w:hAnsi="Calibri" w:cs="Arial"/>
          <w:color w:val="7F7F7F" w:themeColor="text1" w:themeTint="80"/>
          <w:sz w:val="26"/>
          <w:szCs w:val="26"/>
        </w:rPr>
        <w:t>de</w:t>
      </w:r>
      <w:r w:rsidR="00562F72">
        <w:rPr>
          <w:rFonts w:ascii="Calibri" w:hAnsi="Calibri" w:cs="Arial"/>
          <w:color w:val="7F7F7F" w:themeColor="text1" w:themeTint="80"/>
          <w:sz w:val="26"/>
          <w:szCs w:val="26"/>
        </w:rPr>
        <w:t>l inspector</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 xml:space="preserve">y la fecha de ese mandamiento, están </w:t>
      </w:r>
      <w:r w:rsidR="00A32EE2" w:rsidRPr="006B0FF3">
        <w:rPr>
          <w:rFonts w:ascii="Calibri" w:hAnsi="Calibri" w:cs="Arial"/>
          <w:b/>
          <w:color w:val="7F7F7F" w:themeColor="text1" w:themeTint="80"/>
          <w:sz w:val="26"/>
          <w:szCs w:val="26"/>
        </w:rPr>
        <w:t>escritos en letra manuscrita</w:t>
      </w:r>
      <w:r w:rsidR="00A32EE2" w:rsidRPr="00A32EE2">
        <w:rPr>
          <w:rFonts w:ascii="Calibri" w:hAnsi="Calibri" w:cs="Arial"/>
          <w:color w:val="7F7F7F" w:themeColor="text1" w:themeTint="80"/>
          <w:sz w:val="26"/>
          <w:szCs w:val="26"/>
        </w:rPr>
        <w:t>, utilizándose un</w:t>
      </w:r>
      <w:r w:rsidR="00833B37">
        <w:rPr>
          <w:rFonts w:ascii="Calibri" w:hAnsi="Calibri" w:cs="Arial"/>
          <w:color w:val="7F7F7F" w:themeColor="text1" w:themeTint="80"/>
          <w:sz w:val="26"/>
          <w:szCs w:val="26"/>
        </w:rPr>
        <w:t xml:space="preserve"> bolígrafo;</w:t>
      </w:r>
      <w:r w:rsidR="00A32EE2" w:rsidRPr="00A32EE2">
        <w:rPr>
          <w:rFonts w:ascii="Calibri" w:hAnsi="Calibri" w:cs="Arial"/>
          <w:color w:val="7F7F7F" w:themeColor="text1" w:themeTint="80"/>
          <w:sz w:val="26"/>
          <w:szCs w:val="26"/>
        </w:rPr>
        <w:t xml:space="preserve"> por tal razón se estima que </w:t>
      </w:r>
      <w:r w:rsidR="00562F72">
        <w:rPr>
          <w:rFonts w:ascii="Calibri" w:hAnsi="Calibri" w:cs="Arial"/>
          <w:color w:val="7F7F7F" w:themeColor="text1" w:themeTint="80"/>
          <w:sz w:val="26"/>
          <w:szCs w:val="26"/>
        </w:rPr>
        <w:t>el</w:t>
      </w:r>
      <w:r w:rsidR="00A32EE2">
        <w:rPr>
          <w:rFonts w:ascii="Calibri" w:hAnsi="Calibri" w:cs="Arial"/>
          <w:color w:val="7F7F7F" w:themeColor="text1" w:themeTint="80"/>
          <w:sz w:val="26"/>
          <w:szCs w:val="26"/>
        </w:rPr>
        <w:t xml:space="preserve"> inspector demandad</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designó el domicilio </w:t>
      </w:r>
      <w:r w:rsidR="00981D66">
        <w:rPr>
          <w:rFonts w:ascii="Calibri" w:hAnsi="Calibri" w:cs="Arial"/>
          <w:color w:val="7F7F7F" w:themeColor="text1" w:themeTint="80"/>
          <w:sz w:val="26"/>
          <w:szCs w:val="26"/>
        </w:rPr>
        <w:t>de</w:t>
      </w:r>
      <w:r w:rsidR="00FE6FD0">
        <w:rPr>
          <w:rFonts w:ascii="Calibri" w:hAnsi="Calibri" w:cs="Arial"/>
          <w:color w:val="7F7F7F" w:themeColor="text1" w:themeTint="80"/>
          <w:sz w:val="26"/>
          <w:szCs w:val="26"/>
        </w:rPr>
        <w:t>l local comercial inspeccionado</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se autorizó a sí mism</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para practicar la medida de seguridad consistente en la clausura y puso la fecha de emisión del acto, pues existe la plena convicción de que fue </w:t>
      </w:r>
      <w:r w:rsidR="00562F72">
        <w:rPr>
          <w:rFonts w:ascii="Calibri" w:hAnsi="Calibri" w:cs="Arial"/>
          <w:color w:val="7F7F7F" w:themeColor="text1" w:themeTint="80"/>
          <w:sz w:val="26"/>
          <w:szCs w:val="26"/>
        </w:rPr>
        <w:t xml:space="preserve">él </w:t>
      </w:r>
      <w:r w:rsidR="00A32EE2" w:rsidRPr="00A32EE2">
        <w:rPr>
          <w:rFonts w:ascii="Calibri" w:hAnsi="Calibri" w:cs="Arial"/>
          <w:color w:val="7F7F7F" w:themeColor="text1" w:themeTint="80"/>
          <w:sz w:val="26"/>
          <w:szCs w:val="26"/>
        </w:rPr>
        <w:t xml:space="preserve">quien escribió </w:t>
      </w:r>
      <w:r w:rsidR="002974BB">
        <w:rPr>
          <w:rFonts w:ascii="Calibri" w:hAnsi="Calibri" w:cs="Arial"/>
          <w:color w:val="7F7F7F" w:themeColor="text1" w:themeTint="80"/>
          <w:sz w:val="26"/>
          <w:szCs w:val="26"/>
        </w:rPr>
        <w:t>dichos datos de su puño y letra;</w:t>
      </w:r>
      <w:r w:rsidR="00A32EE2" w:rsidRPr="00A32EE2">
        <w:rPr>
          <w:rFonts w:ascii="Calibri" w:hAnsi="Calibri" w:cs="Arial"/>
          <w:color w:val="7F7F7F" w:themeColor="text1" w:themeTint="80"/>
          <w:sz w:val="26"/>
          <w:szCs w:val="26"/>
        </w:rPr>
        <w:t xml:space="preserve"> toda vez que a simple vista por los rasgos de la escritura manuscrita, se aprecia el mismo tipo de letra, tanto en </w:t>
      </w:r>
      <w:r w:rsidR="00A32EE2">
        <w:rPr>
          <w:rFonts w:ascii="Calibri" w:hAnsi="Calibri" w:cs="Arial"/>
          <w:color w:val="7F7F7F" w:themeColor="text1" w:themeTint="80"/>
          <w:sz w:val="26"/>
          <w:szCs w:val="26"/>
        </w:rPr>
        <w:t xml:space="preserve">el acta de visita de inspección; </w:t>
      </w:r>
      <w:r w:rsidR="00A32EE2" w:rsidRPr="00A32EE2">
        <w:rPr>
          <w:rFonts w:ascii="Calibri" w:hAnsi="Calibri" w:cs="Arial"/>
          <w:color w:val="7F7F7F" w:themeColor="text1" w:themeTint="80"/>
          <w:sz w:val="26"/>
          <w:szCs w:val="26"/>
        </w:rPr>
        <w:t>la orden de clausura y en el acta de clausura que obran en autos de esta causa administrativa</w:t>
      </w:r>
      <w:r w:rsidR="00A32EE2">
        <w:rPr>
          <w:rFonts w:ascii="Calibri" w:hAnsi="Calibri" w:cs="Arial"/>
          <w:color w:val="7F7F7F" w:themeColor="text1" w:themeTint="80"/>
          <w:sz w:val="26"/>
          <w:szCs w:val="26"/>
        </w:rPr>
        <w:t xml:space="preserve">, lo que se traduce en que no existió </w:t>
      </w:r>
      <w:r w:rsidR="00A32EE2" w:rsidRPr="00A32EE2">
        <w:rPr>
          <w:rFonts w:ascii="Calibri" w:hAnsi="Calibri" w:cs="Arial"/>
          <w:color w:val="7F7F7F" w:themeColor="text1" w:themeTint="80"/>
          <w:sz w:val="26"/>
          <w:szCs w:val="26"/>
        </w:rPr>
        <w:t>la voluntad del titular de la Dirección General de Fiscalización y Control, de este Municipio</w:t>
      </w:r>
      <w:r w:rsidR="00A32EE2">
        <w:rPr>
          <w:rFonts w:ascii="Calibri" w:hAnsi="Calibri" w:cs="Arial"/>
          <w:color w:val="7F7F7F" w:themeColor="text1" w:themeTint="80"/>
          <w:sz w:val="26"/>
          <w:szCs w:val="26"/>
        </w:rPr>
        <w:t>, para emitir la orden de clausura</w:t>
      </w:r>
      <w:r w:rsidR="00A32EE2" w:rsidRPr="00A32EE2">
        <w:rPr>
          <w:rFonts w:ascii="Calibri" w:hAnsi="Calibri" w:cs="Arial"/>
          <w:color w:val="7F7F7F" w:themeColor="text1" w:themeTint="80"/>
          <w:sz w:val="26"/>
          <w:szCs w:val="26"/>
        </w:rPr>
        <w:t xml:space="preserve">. Por consiguiente, la Orden de clausura como acto administrativo carece de los elementos de validez exigidos por la fracción I del artículo 137 del mismo Código </w:t>
      </w:r>
    </w:p>
    <w:p w:rsidR="00FF7E91" w:rsidRDefault="00FF7E91" w:rsidP="00FF7E91">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538/2015-JN</w:t>
      </w:r>
    </w:p>
    <w:p w:rsidR="00FF7E91" w:rsidRDefault="00FF7E91" w:rsidP="00FF7E91">
      <w:pPr>
        <w:pStyle w:val="Textoindependiente"/>
        <w:ind w:firstLine="708"/>
        <w:rPr>
          <w:rFonts w:ascii="Calibri" w:hAnsi="Calibri" w:cs="Arial"/>
          <w:color w:val="7F7F7F" w:themeColor="text1" w:themeTint="80"/>
          <w:sz w:val="26"/>
          <w:szCs w:val="26"/>
        </w:rPr>
      </w:pPr>
    </w:p>
    <w:p w:rsidR="00A32EE2" w:rsidRDefault="00A32EE2" w:rsidP="00FF7E91">
      <w:pPr>
        <w:pStyle w:val="Textoindependiente"/>
        <w:rPr>
          <w:rFonts w:ascii="Calibri" w:hAnsi="Calibri" w:cs="Arial"/>
          <w:color w:val="7F7F7F" w:themeColor="text1" w:themeTint="80"/>
          <w:sz w:val="26"/>
          <w:szCs w:val="26"/>
        </w:rPr>
      </w:pPr>
      <w:r w:rsidRPr="00A32EE2">
        <w:rPr>
          <w:rFonts w:ascii="Calibri" w:hAnsi="Calibri" w:cs="Arial"/>
          <w:color w:val="7F7F7F" w:themeColor="text1" w:themeTint="80"/>
          <w:sz w:val="26"/>
          <w:szCs w:val="26"/>
        </w:rPr>
        <w:lastRenderedPageBreak/>
        <w:t>de Procedimiento y Justicia Administrativa, ya que al emitirse sin el domicilio del establecimiento a clausurar, el nombre del inspector y la fecha de emisión, hacen que la orden de inspección se entienda emitida material y formalmente por el inspector, quien es una autoridad que</w:t>
      </w:r>
      <w:r w:rsidR="002974BB">
        <w:rPr>
          <w:rFonts w:ascii="Calibri" w:hAnsi="Calibri" w:cs="Arial"/>
          <w:color w:val="7F7F7F" w:themeColor="text1" w:themeTint="80"/>
          <w:sz w:val="26"/>
          <w:szCs w:val="26"/>
        </w:rPr>
        <w:t xml:space="preserve"> carece de facultades para ello;</w:t>
      </w:r>
      <w:r w:rsidRPr="00A32EE2">
        <w:rPr>
          <w:rFonts w:ascii="Calibri" w:hAnsi="Calibri" w:cs="Arial"/>
          <w:color w:val="7F7F7F" w:themeColor="text1" w:themeTint="80"/>
          <w:sz w:val="26"/>
          <w:szCs w:val="26"/>
        </w:rPr>
        <w:t xml:space="preserve"> vicio irregular que de acuerdo a lo previsto por el artículo 143 párrafo primero del mismo Código, origina su ilegalidad. . . . .  . . . . . . </w:t>
      </w:r>
      <w:r w:rsidR="002974BB">
        <w:rPr>
          <w:rFonts w:ascii="Calibri" w:hAnsi="Calibri" w:cs="Arial"/>
          <w:color w:val="7F7F7F" w:themeColor="text1" w:themeTint="80"/>
          <w:sz w:val="26"/>
          <w:szCs w:val="26"/>
        </w:rPr>
        <w:t>. . . . . . . . . . . . . . . . . . . . . . . . . . . .</w:t>
      </w:r>
    </w:p>
    <w:p w:rsidR="002974BB" w:rsidRPr="009A23DB" w:rsidRDefault="002974BB" w:rsidP="007A0F71">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w:t>
      </w:r>
      <w:r w:rsidR="00BB36E8">
        <w:rPr>
          <w:rFonts w:ascii="Calibri" w:hAnsi="Calibri" w:cs="Arial"/>
          <w:color w:val="7F7F7F" w:themeColor="text1" w:themeTint="80"/>
          <w:sz w:val="26"/>
          <w:szCs w:val="26"/>
        </w:rPr>
        <w:t xml:space="preserve">visita de </w:t>
      </w:r>
      <w:r w:rsidRPr="00BF5CA7">
        <w:rPr>
          <w:rFonts w:ascii="Calibri" w:hAnsi="Calibri" w:cs="Arial"/>
          <w:color w:val="7F7F7F" w:themeColor="text1" w:themeTint="80"/>
          <w:sz w:val="26"/>
          <w:szCs w:val="26"/>
        </w:rPr>
        <w:t xml:space="preserve">inspección, resultó fundado y es suficiente para decretar la nulidad total de los actos impugnados; resulta innecesario el estudio de los restantes conceptos de impugnación, ya que ello no cambiaría, ni afectaría el sentido de esta resolución. . . . . . . . . . . . . . . . . . . . . . . . . . . . . . </w:t>
      </w:r>
      <w:r w:rsidR="00FF7E91">
        <w:rPr>
          <w:rFonts w:ascii="Calibri" w:hAnsi="Calibri" w:cs="Arial"/>
          <w:color w:val="7F7F7F" w:themeColor="text1" w:themeTint="80"/>
          <w:sz w:val="26"/>
          <w:szCs w:val="26"/>
        </w:rPr>
        <w:t xml:space="preserve">. . . . . . . . . . . . . . . </w:t>
      </w:r>
      <w:r>
        <w:rPr>
          <w:rFonts w:ascii="Calibri" w:hAnsi="Calibri" w:cs="Arial"/>
          <w:color w:val="7F7F7F" w:themeColor="text1" w:themeTint="80"/>
          <w:sz w:val="26"/>
          <w:szCs w:val="26"/>
        </w:rPr>
        <w:t xml:space="preserve">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FA04C4"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p>
    <w:p w:rsidR="00FF7E91" w:rsidRPr="00BF5CA7" w:rsidRDefault="00FF7E91" w:rsidP="004B3DFC">
      <w:pPr>
        <w:pStyle w:val="Textoindependiente"/>
        <w:ind w:firstLine="708"/>
        <w:rPr>
          <w:rFonts w:ascii="Calibri" w:hAnsi="Calibri"/>
          <w:b/>
          <w:bCs/>
          <w:i/>
          <w:iCs/>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5CA7">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p>
    <w:p w:rsidR="004B3DFC" w:rsidRPr="00BF5CA7" w:rsidRDefault="004B3DFC" w:rsidP="004B3DFC">
      <w:pPr>
        <w:jc w:val="both"/>
        <w:rPr>
          <w:rFonts w:ascii="Calibri" w:hAnsi="Calibri" w:cs="Arial"/>
          <w:color w:val="7F7F7F" w:themeColor="text1" w:themeTint="80"/>
          <w:sz w:val="20"/>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Arial"/>
          <w:b/>
          <w:i/>
          <w:color w:val="7F7F7F" w:themeColor="text1" w:themeTint="80"/>
          <w:sz w:val="26"/>
          <w:szCs w:val="26"/>
        </w:rPr>
        <w:t xml:space="preserve">OCTAVO.- </w:t>
      </w:r>
      <w:r w:rsidRPr="00BF5CA7">
        <w:rPr>
          <w:rFonts w:ascii="Calibri" w:hAnsi="Calibri" w:cs="Calibri"/>
          <w:color w:val="7F7F7F" w:themeColor="text1" w:themeTint="80"/>
          <w:sz w:val="26"/>
          <w:szCs w:val="26"/>
        </w:rPr>
        <w:t xml:space="preserve">De lo pretendido por </w:t>
      </w:r>
      <w:r w:rsidR="00792CFC">
        <w:rPr>
          <w:rFonts w:ascii="Calibri" w:hAnsi="Calibri" w:cs="Calibri"/>
          <w:color w:val="7F7F7F" w:themeColor="text1" w:themeTint="80"/>
          <w:sz w:val="26"/>
          <w:szCs w:val="26"/>
        </w:rPr>
        <w:t>el</w:t>
      </w:r>
      <w:r w:rsidRPr="00BF5CA7">
        <w:rPr>
          <w:rFonts w:ascii="Calibri" w:hAnsi="Calibri" w:cs="Calibri"/>
          <w:color w:val="7F7F7F" w:themeColor="text1" w:themeTint="80"/>
          <w:sz w:val="26"/>
          <w:szCs w:val="26"/>
        </w:rPr>
        <w:t xml:space="preserve"> impetrante del proceso, se encuentra también lo concerniente </w:t>
      </w:r>
      <w:r w:rsidRPr="00BF5CA7">
        <w:rPr>
          <w:rFonts w:ascii="Calibri" w:hAnsi="Calibri"/>
          <w:color w:val="7F7F7F" w:themeColor="text1" w:themeTint="80"/>
          <w:sz w:val="26"/>
          <w:szCs w:val="26"/>
        </w:rPr>
        <w:t xml:space="preserve">a que se condene a las demandadas a que se levante la clausura impuesta en fecha </w:t>
      </w:r>
      <w:r w:rsidR="002C2B92">
        <w:rPr>
          <w:rFonts w:ascii="Calibri" w:hAnsi="Calibri"/>
          <w:color w:val="7F7F7F" w:themeColor="text1" w:themeTint="80"/>
          <w:sz w:val="26"/>
          <w:szCs w:val="26"/>
        </w:rPr>
        <w:t>21 veintiuno de mayo</w:t>
      </w:r>
      <w:r w:rsidRPr="00BF5CA7">
        <w:rPr>
          <w:rFonts w:ascii="Calibri" w:hAnsi="Calibri"/>
          <w:color w:val="7F7F7F" w:themeColor="text1" w:themeTint="80"/>
          <w:sz w:val="26"/>
          <w:szCs w:val="26"/>
        </w:rPr>
        <w:t xml:space="preserve"> del año </w:t>
      </w:r>
      <w:r w:rsidR="00562F72">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sobre la máquina de juegos de azar ubicada en el interior del establecimiento visitado. . </w:t>
      </w:r>
      <w:r>
        <w:rPr>
          <w:rFonts w:ascii="Calibri" w:hAnsi="Calibri"/>
          <w:color w:val="7F7F7F" w:themeColor="text1" w:themeTint="80"/>
          <w:sz w:val="26"/>
          <w:szCs w:val="26"/>
        </w:rPr>
        <w:t xml:space="preserve">. . </w:t>
      </w:r>
      <w:r w:rsidR="00FF7E91">
        <w:rPr>
          <w:rFonts w:ascii="Calibri" w:hAnsi="Calibri"/>
          <w:color w:val="7F7F7F" w:themeColor="text1" w:themeTint="80"/>
          <w:sz w:val="26"/>
          <w:szCs w:val="26"/>
        </w:rPr>
        <w:t>. . . . . . . . . . . . . . . . . . . . . . . . . . . . . . . . . . . . . . . . . . . . . . . . . . . . . . . . . . .</w:t>
      </w:r>
    </w:p>
    <w:p w:rsidR="004B3DFC" w:rsidRPr="00BF5CA7" w:rsidRDefault="004B3DFC" w:rsidP="004B3DFC">
      <w:pPr>
        <w:ind w:firstLine="708"/>
        <w:jc w:val="both"/>
        <w:rPr>
          <w:rFonts w:ascii="Calibri" w:hAnsi="Calibri"/>
          <w:color w:val="7F7F7F" w:themeColor="text1" w:themeTint="80"/>
          <w:sz w:val="26"/>
          <w:szCs w:val="26"/>
        </w:rPr>
      </w:pPr>
    </w:p>
    <w:p w:rsidR="004328C1" w:rsidRPr="00BF5CA7" w:rsidRDefault="004B3DFC" w:rsidP="004328C1">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toda vez qu</w:t>
      </w:r>
      <w:r w:rsidR="004A41DC">
        <w:rPr>
          <w:rFonts w:ascii="Calibri" w:hAnsi="Calibri"/>
          <w:b/>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 xml:space="preserve">por lo que el Director General de Fiscalización y Control y </w:t>
      </w:r>
      <w:r w:rsidR="00562F72">
        <w:rPr>
          <w:rFonts w:ascii="Calibri" w:hAnsi="Calibri"/>
          <w:color w:val="7F7F7F" w:themeColor="text1" w:themeTint="80"/>
          <w:sz w:val="26"/>
          <w:szCs w:val="26"/>
        </w:rPr>
        <w:t>el</w:t>
      </w:r>
      <w:r w:rsidR="004328C1" w:rsidRPr="00BF5CA7">
        <w:rPr>
          <w:rFonts w:ascii="Calibri" w:hAnsi="Calibri"/>
          <w:color w:val="7F7F7F" w:themeColor="text1" w:themeTint="80"/>
          <w:sz w:val="26"/>
          <w:szCs w:val="26"/>
        </w:rPr>
        <w:t xml:space="preserve"> inspector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4B3DFC" w:rsidRDefault="004B3DFC" w:rsidP="00FF7E91">
      <w:pPr>
        <w:pStyle w:val="Textoindependiente"/>
        <w:tabs>
          <w:tab w:val="left" w:pos="6662"/>
        </w:tabs>
        <w:rPr>
          <w:rFonts w:ascii="Calibri" w:hAnsi="Calibri" w:cs="Arial"/>
          <w:color w:val="7F7F7F" w:themeColor="text1" w:themeTint="80"/>
          <w:sz w:val="18"/>
          <w:szCs w:val="18"/>
        </w:rPr>
      </w:pPr>
      <w:r w:rsidRPr="00BF5CA7">
        <w:rPr>
          <w:rFonts w:ascii="Calibri" w:hAnsi="Calibri" w:cs="Arial"/>
          <w:color w:val="7F7F7F" w:themeColor="text1" w:themeTint="80"/>
          <w:sz w:val="18"/>
          <w:szCs w:val="18"/>
        </w:rPr>
        <w:tab/>
      </w: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p>
    <w:p w:rsidR="008F0CF4" w:rsidRPr="00FA04C4" w:rsidRDefault="008F0CF4" w:rsidP="00EA4780">
      <w:pPr>
        <w:pStyle w:val="Textoindependiente"/>
        <w:tabs>
          <w:tab w:val="left" w:pos="6662"/>
        </w:tabs>
        <w:rPr>
          <w:rFonts w:ascii="Calibri" w:hAnsi="Calibri" w:cs="Calibri"/>
          <w:bCs/>
          <w:color w:val="7F7F7F" w:themeColor="text1" w:themeTint="80"/>
          <w:sz w:val="26"/>
          <w:szCs w:val="26"/>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832B72" w:rsidRDefault="004B3DFC" w:rsidP="004B3DFC">
      <w:pPr>
        <w:pStyle w:val="Textoindependiente"/>
        <w:rPr>
          <w:rFonts w:ascii="Calibri" w:hAnsi="Calibri" w:cs="Arial"/>
          <w:color w:val="7F7F7F" w:themeColor="text1" w:themeTint="80"/>
          <w:sz w:val="22"/>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BF5CA7">
        <w:rPr>
          <w:rFonts w:ascii="Calibri" w:hAnsi="Calibri" w:cs="Arial"/>
          <w:color w:val="7F7F7F" w:themeColor="text1" w:themeTint="80"/>
          <w:sz w:val="26"/>
          <w:szCs w:val="26"/>
        </w:rPr>
        <w:t xml:space="preserve">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5268C0" w:rsidRDefault="004B3DFC" w:rsidP="004B3DFC">
      <w:pPr>
        <w:jc w:val="both"/>
        <w:rPr>
          <w:rFonts w:ascii="Calibri" w:hAnsi="Calibri" w:cs="Arial"/>
          <w:b/>
          <w:bCs/>
          <w:i/>
          <w:iCs/>
          <w:color w:val="7F7F7F" w:themeColor="text1" w:themeTint="80"/>
          <w:sz w:val="22"/>
          <w:szCs w:val="22"/>
          <w:lang w:val="es-MX"/>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Pr="00A107AD">
        <w:rPr>
          <w:rFonts w:ascii="Calibri" w:hAnsi="Calibri" w:cs="Calibri"/>
          <w:b/>
          <w:color w:val="7F7F7F" w:themeColor="text1" w:themeTint="80"/>
          <w:sz w:val="26"/>
          <w:szCs w:val="26"/>
        </w:rPr>
        <w:t>procedente</w:t>
      </w:r>
      <w:r w:rsidRPr="00BF5CA7">
        <w:rPr>
          <w:rFonts w:ascii="Calibri" w:hAnsi="Calibri" w:cs="Calibri"/>
          <w:color w:val="7F7F7F" w:themeColor="text1" w:themeTint="80"/>
          <w:sz w:val="26"/>
          <w:szCs w:val="26"/>
        </w:rPr>
        <w:t xml:space="preserve"> el proceso administrativo promovido, por </w:t>
      </w:r>
      <w:r w:rsidR="00792CFC">
        <w:rPr>
          <w:rFonts w:ascii="Calibri" w:hAnsi="Calibri" w:cs="Calibri"/>
          <w:color w:val="7F7F7F" w:themeColor="text1" w:themeTint="80"/>
          <w:sz w:val="26"/>
          <w:szCs w:val="26"/>
        </w:rPr>
        <w:t>el ciudadano</w:t>
      </w:r>
      <w:r w:rsidRPr="00BF5CA7">
        <w:rPr>
          <w:rFonts w:ascii="Calibri" w:hAnsi="Calibri" w:cs="Calibri"/>
          <w:color w:val="7F7F7F" w:themeColor="text1" w:themeTint="80"/>
          <w:sz w:val="26"/>
          <w:szCs w:val="26"/>
        </w:rPr>
        <w:t xml:space="preserve"> </w:t>
      </w:r>
      <w:r w:rsidR="00CD56F6">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en contra de los actos impugnados</w:t>
      </w:r>
      <w:r w:rsidR="00FF7E91">
        <w:rPr>
          <w:rFonts w:ascii="Calibri" w:hAnsi="Calibri" w:cs="Arial"/>
          <w:color w:val="7F7F7F" w:themeColor="text1" w:themeTint="80"/>
          <w:sz w:val="26"/>
          <w:szCs w:val="26"/>
        </w:rPr>
        <w:t xml:space="preserve">. . . . </w:t>
      </w:r>
    </w:p>
    <w:p w:rsidR="004B3DFC" w:rsidRPr="00BF5CA7" w:rsidRDefault="004B3DFC" w:rsidP="004B3DFC">
      <w:pPr>
        <w:jc w:val="both"/>
        <w:rPr>
          <w:rFonts w:ascii="Calibri" w:hAnsi="Calibri" w:cs="Arial"/>
          <w:b/>
          <w:bCs/>
          <w:color w:val="7F7F7F" w:themeColor="text1" w:themeTint="80"/>
          <w:sz w:val="22"/>
          <w:szCs w:val="22"/>
        </w:rPr>
      </w:pPr>
    </w:p>
    <w:p w:rsidR="004B3DFC" w:rsidRPr="00832B72" w:rsidRDefault="004B3DFC" w:rsidP="00832B72">
      <w:pPr>
        <w:ind w:firstLine="708"/>
        <w:jc w:val="both"/>
        <w:rPr>
          <w:rFonts w:ascii="Calibri" w:hAnsi="Calibri"/>
          <w:color w:val="7F7F7F" w:themeColor="text1" w:themeTint="80"/>
          <w:sz w:val="26"/>
          <w:szCs w:val="27"/>
        </w:rPr>
      </w:pPr>
      <w:r w:rsidRPr="00BF5CA7">
        <w:rPr>
          <w:rFonts w:ascii="Calibri" w:hAnsi="Calibri" w:cs="Arial"/>
          <w:b/>
          <w:bCs/>
          <w:i/>
          <w:iCs/>
          <w:color w:val="7F7F7F" w:themeColor="text1" w:themeTint="80"/>
          <w:sz w:val="26"/>
          <w:szCs w:val="26"/>
        </w:rPr>
        <w:t>TERCERO.-</w:t>
      </w:r>
      <w:r w:rsidRPr="00BF5CA7">
        <w:rPr>
          <w:rFonts w:ascii="Calibri" w:hAnsi="Calibri" w:cs="Arial"/>
          <w:color w:val="7F7F7F" w:themeColor="text1" w:themeTint="80"/>
          <w:sz w:val="26"/>
          <w:szCs w:val="26"/>
        </w:rPr>
        <w:t xml:space="preserve"> Se </w:t>
      </w:r>
      <w:r w:rsidRPr="004C212B">
        <w:rPr>
          <w:rFonts w:ascii="Calibri" w:hAnsi="Calibri" w:cs="Arial"/>
          <w:b/>
          <w:color w:val="7F7F7F" w:themeColor="text1" w:themeTint="80"/>
          <w:sz w:val="26"/>
          <w:szCs w:val="26"/>
        </w:rPr>
        <w:t>decreta</w:t>
      </w:r>
      <w:r w:rsidRPr="00BF5CA7">
        <w:rPr>
          <w:rFonts w:ascii="Calibri" w:hAnsi="Calibri" w:cs="Arial"/>
          <w:color w:val="7F7F7F" w:themeColor="text1" w:themeTint="80"/>
          <w:sz w:val="26"/>
          <w:szCs w:val="26"/>
        </w:rPr>
        <w:t xml:space="preserve">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591544">
        <w:rPr>
          <w:rFonts w:ascii="Calibri" w:hAnsi="Calibri"/>
          <w:b/>
          <w:color w:val="7F7F7F" w:themeColor="text1" w:themeTint="80"/>
          <w:sz w:val="26"/>
          <w:szCs w:val="26"/>
        </w:rPr>
        <w:t>21</w:t>
      </w:r>
      <w:r w:rsidR="00B64012">
        <w:rPr>
          <w:rFonts w:ascii="Calibri" w:hAnsi="Calibri"/>
          <w:b/>
          <w:color w:val="7F7F7F" w:themeColor="text1" w:themeTint="80"/>
          <w:sz w:val="26"/>
          <w:szCs w:val="26"/>
        </w:rPr>
        <w:t xml:space="preserve"> </w:t>
      </w:r>
      <w:r w:rsidR="00591544" w:rsidRPr="00591544">
        <w:rPr>
          <w:rFonts w:ascii="Calibri" w:hAnsi="Calibri"/>
          <w:color w:val="7F7F7F" w:themeColor="text1" w:themeTint="80"/>
          <w:sz w:val="26"/>
          <w:szCs w:val="26"/>
        </w:rPr>
        <w:t>veintiuno</w:t>
      </w:r>
      <w:r w:rsidR="00B64012">
        <w:rPr>
          <w:rFonts w:ascii="Calibri" w:hAnsi="Calibri"/>
          <w:b/>
          <w:color w:val="7F7F7F" w:themeColor="text1" w:themeTint="80"/>
          <w:sz w:val="26"/>
          <w:szCs w:val="26"/>
        </w:rPr>
        <w:t xml:space="preserve"> </w:t>
      </w:r>
      <w:r w:rsidR="00B64012" w:rsidRPr="00591544">
        <w:rPr>
          <w:rFonts w:ascii="Calibri" w:hAnsi="Calibri"/>
          <w:color w:val="7F7F7F" w:themeColor="text1" w:themeTint="80"/>
          <w:sz w:val="26"/>
          <w:szCs w:val="26"/>
        </w:rPr>
        <w:t>de</w:t>
      </w:r>
      <w:r w:rsidR="00B64012">
        <w:rPr>
          <w:rFonts w:ascii="Calibri" w:hAnsi="Calibri"/>
          <w:b/>
          <w:color w:val="7F7F7F" w:themeColor="text1" w:themeTint="80"/>
          <w:sz w:val="26"/>
          <w:szCs w:val="26"/>
        </w:rPr>
        <w:t xml:space="preserve"> </w:t>
      </w:r>
      <w:r w:rsidR="00591544">
        <w:rPr>
          <w:rFonts w:ascii="Calibri" w:hAnsi="Calibri"/>
          <w:b/>
          <w:color w:val="7F7F7F" w:themeColor="text1" w:themeTint="80"/>
          <w:sz w:val="26"/>
          <w:szCs w:val="26"/>
        </w:rPr>
        <w:t>mayo</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w:t>
      </w:r>
      <w:r w:rsidR="002C2B92">
        <w:rPr>
          <w:rFonts w:ascii="Calibri" w:hAnsi="Calibri"/>
          <w:b/>
          <w:color w:val="7F7F7F" w:themeColor="text1" w:themeTint="80"/>
          <w:sz w:val="26"/>
          <w:szCs w:val="26"/>
        </w:rPr>
        <w:t>0291</w:t>
      </w:r>
      <w:r w:rsidR="00A57007">
        <w:rPr>
          <w:rFonts w:ascii="Calibri" w:hAnsi="Calibri"/>
          <w:b/>
          <w:color w:val="7F7F7F" w:themeColor="text1" w:themeTint="80"/>
          <w:sz w:val="26"/>
          <w:szCs w:val="26"/>
        </w:rPr>
        <w:t>/2015-JA</w:t>
      </w:r>
      <w:r w:rsidR="00EA4780" w:rsidRPr="00BF5CA7">
        <w:rPr>
          <w:rFonts w:ascii="Calibri" w:hAnsi="Calibri"/>
          <w:color w:val="7F7F7F" w:themeColor="text1" w:themeTint="80"/>
          <w:sz w:val="26"/>
          <w:szCs w:val="26"/>
        </w:rPr>
        <w:t xml:space="preserve">; </w:t>
      </w:r>
      <w:r w:rsidR="00EA4780">
        <w:rPr>
          <w:rFonts w:ascii="Calibri" w:hAnsi="Calibri"/>
          <w:color w:val="7F7F7F" w:themeColor="text1" w:themeTint="80"/>
          <w:sz w:val="26"/>
          <w:szCs w:val="26"/>
        </w:rPr>
        <w:t xml:space="preserve"> y por ende, también se </w:t>
      </w:r>
      <w:r w:rsidR="008C282C" w:rsidRPr="004C212B">
        <w:rPr>
          <w:rFonts w:ascii="Calibri" w:hAnsi="Calibri"/>
          <w:b/>
          <w:color w:val="7F7F7F" w:themeColor="text1" w:themeTint="80"/>
          <w:sz w:val="26"/>
          <w:szCs w:val="26"/>
        </w:rPr>
        <w:t>decreta</w:t>
      </w:r>
      <w:r w:rsidR="00EA4780">
        <w:rPr>
          <w:rFonts w:ascii="Calibri" w:hAnsi="Calibri"/>
          <w:color w:val="7F7F7F" w:themeColor="text1" w:themeTint="80"/>
          <w:sz w:val="26"/>
          <w:szCs w:val="26"/>
        </w:rPr>
        <w:t xml:space="preserve">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los actos que se sustentan y derivan de la misma; como lo son el </w:t>
      </w:r>
      <w:r w:rsidR="00EA4780" w:rsidRPr="00A2439F">
        <w:rPr>
          <w:rFonts w:ascii="Calibri" w:hAnsi="Calibri"/>
          <w:b/>
          <w:bCs/>
          <w:color w:val="7F7F7F" w:themeColor="text1" w:themeTint="80"/>
          <w:sz w:val="26"/>
          <w:szCs w:val="26"/>
        </w:rPr>
        <w:t>acta de visita de inspección</w:t>
      </w:r>
      <w:r w:rsidR="00591544">
        <w:rPr>
          <w:rFonts w:ascii="Calibri" w:hAnsi="Calibri"/>
          <w:bCs/>
          <w:color w:val="7F7F7F" w:themeColor="text1" w:themeTint="80"/>
          <w:sz w:val="26"/>
          <w:szCs w:val="26"/>
        </w:rPr>
        <w:t xml:space="preserve">; </w:t>
      </w:r>
      <w:r w:rsidR="00EA4780">
        <w:rPr>
          <w:rFonts w:ascii="Calibri" w:hAnsi="Calibri"/>
          <w:bCs/>
          <w:color w:val="7F7F7F" w:themeColor="text1" w:themeTint="80"/>
          <w:sz w:val="26"/>
          <w:szCs w:val="26"/>
        </w:rPr>
        <w:t xml:space="preserve">la </w:t>
      </w:r>
      <w:r w:rsidR="00EA4780" w:rsidRPr="00A2439F">
        <w:rPr>
          <w:rFonts w:ascii="Calibri" w:hAnsi="Calibri"/>
          <w:b/>
          <w:bCs/>
          <w:color w:val="7F7F7F" w:themeColor="text1" w:themeTint="80"/>
          <w:sz w:val="26"/>
          <w:szCs w:val="26"/>
        </w:rPr>
        <w:t>orden de clausura</w:t>
      </w:r>
      <w:r w:rsidR="00591544">
        <w:rPr>
          <w:rFonts w:ascii="Calibri" w:hAnsi="Calibri"/>
          <w:bCs/>
          <w:color w:val="7F7F7F" w:themeColor="text1" w:themeTint="80"/>
          <w:sz w:val="26"/>
          <w:szCs w:val="26"/>
        </w:rPr>
        <w:t xml:space="preserve">; y, el </w:t>
      </w:r>
      <w:r w:rsidR="00591544" w:rsidRPr="00F54858">
        <w:rPr>
          <w:rFonts w:ascii="Calibri" w:hAnsi="Calibri"/>
          <w:b/>
          <w:bCs/>
          <w:color w:val="7F7F7F" w:themeColor="text1" w:themeTint="80"/>
          <w:sz w:val="26"/>
          <w:szCs w:val="26"/>
        </w:rPr>
        <w:t>acta circunstanciada de fijación de sellos de clausura</w:t>
      </w:r>
      <w:r w:rsidR="00591544">
        <w:rPr>
          <w:rFonts w:ascii="Calibri" w:hAnsi="Calibri"/>
          <w:bCs/>
          <w:color w:val="7F7F7F" w:themeColor="text1" w:themeTint="80"/>
          <w:sz w:val="26"/>
          <w:szCs w:val="26"/>
        </w:rPr>
        <w:t xml:space="preserve">;  todos </w:t>
      </w:r>
      <w:r w:rsidR="00591544" w:rsidRPr="00F9490B">
        <w:rPr>
          <w:rFonts w:ascii="Calibri" w:hAnsi="Calibri"/>
          <w:bCs/>
          <w:color w:val="7F7F7F" w:themeColor="text1" w:themeTint="80"/>
          <w:sz w:val="26"/>
          <w:szCs w:val="26"/>
        </w:rPr>
        <w:t xml:space="preserve">de </w:t>
      </w:r>
      <w:r w:rsidR="00591544">
        <w:rPr>
          <w:rFonts w:ascii="Calibri" w:hAnsi="Calibri"/>
          <w:bCs/>
          <w:color w:val="7F7F7F" w:themeColor="text1" w:themeTint="80"/>
          <w:sz w:val="26"/>
          <w:szCs w:val="26"/>
        </w:rPr>
        <w:t xml:space="preserve">la </w:t>
      </w:r>
      <w:r w:rsidR="00591544" w:rsidRPr="00F9490B">
        <w:rPr>
          <w:rFonts w:ascii="Calibri" w:hAnsi="Calibri"/>
          <w:bCs/>
          <w:color w:val="7F7F7F" w:themeColor="text1" w:themeTint="80"/>
          <w:sz w:val="26"/>
          <w:szCs w:val="26"/>
        </w:rPr>
        <w:t>misma fecha que la de la orden</w:t>
      </w:r>
      <w:r w:rsidR="00591544">
        <w:rPr>
          <w:rFonts w:ascii="Calibri" w:hAnsi="Calibri"/>
          <w:bCs/>
          <w:color w:val="7F7F7F" w:themeColor="text1" w:themeTint="80"/>
          <w:sz w:val="26"/>
          <w:szCs w:val="26"/>
        </w:rPr>
        <w:t xml:space="preserve"> de visita de inspección y</w:t>
      </w:r>
      <w:r w:rsidR="00591544" w:rsidRPr="00F9490B">
        <w:rPr>
          <w:rFonts w:ascii="Calibri" w:hAnsi="Calibri"/>
          <w:bCs/>
          <w:color w:val="7F7F7F" w:themeColor="text1" w:themeTint="80"/>
          <w:sz w:val="26"/>
          <w:szCs w:val="26"/>
        </w:rPr>
        <w:t xml:space="preserve"> co</w:t>
      </w:r>
      <w:r w:rsidR="00591544" w:rsidRPr="00F9490B">
        <w:rPr>
          <w:rFonts w:ascii="Calibri" w:hAnsi="Calibri"/>
          <w:color w:val="7F7F7F" w:themeColor="text1" w:themeTint="80"/>
          <w:sz w:val="26"/>
          <w:szCs w:val="26"/>
        </w:rPr>
        <w:t>n el mismo número de expediente</w:t>
      </w:r>
      <w:r w:rsidRPr="00BF5CA7">
        <w:rPr>
          <w:rFonts w:ascii="Calibri" w:hAnsi="Calibri"/>
          <w:bCs/>
          <w:color w:val="7F7F7F" w:themeColor="text1" w:themeTint="80"/>
          <w:sz w:val="26"/>
          <w:szCs w:val="26"/>
        </w:rPr>
        <w:t xml:space="preserve">; </w:t>
      </w:r>
      <w:r w:rsidRPr="00BF5CA7">
        <w:rPr>
          <w:rFonts w:ascii="Calibri" w:hAnsi="Calibri" w:cs="Arial"/>
          <w:color w:val="7F7F7F" w:themeColor="text1" w:themeTint="80"/>
          <w:sz w:val="26"/>
          <w:szCs w:val="26"/>
        </w:rPr>
        <w:t>ello conforme a las consideraciones lógicas y jurídicas expuestas en el Considerando Sexto de esta misma</w:t>
      </w:r>
      <w:r w:rsidR="00EA4780">
        <w:rPr>
          <w:rFonts w:ascii="Calibri" w:hAnsi="Calibri" w:cs="Arial"/>
          <w:color w:val="7F7F7F" w:themeColor="text1" w:themeTint="80"/>
          <w:sz w:val="26"/>
          <w:szCs w:val="26"/>
        </w:rPr>
        <w:t xml:space="preserve"> sentencia. . . . . . . . . . </w:t>
      </w:r>
      <w:r w:rsidR="004328C1">
        <w:rPr>
          <w:rFonts w:ascii="Calibri" w:hAnsi="Calibri" w:cs="Arial"/>
          <w:color w:val="7F7F7F" w:themeColor="text1" w:themeTint="80"/>
          <w:sz w:val="26"/>
          <w:szCs w:val="26"/>
        </w:rPr>
        <w:t>. . . . . . . . . . . . . . . . . . . . . . . . . . . . . . . . . . . . . . . . . . . . .</w:t>
      </w:r>
    </w:p>
    <w:p w:rsidR="004B3DFC" w:rsidRPr="00BF5CA7" w:rsidRDefault="004B3DFC" w:rsidP="004B3DFC">
      <w:pPr>
        <w:pStyle w:val="Textoindependiente"/>
        <w:rPr>
          <w:rFonts w:ascii="Calibri" w:hAnsi="Calibri" w:cs="Calibri"/>
          <w:color w:val="7F7F7F" w:themeColor="text1" w:themeTint="80"/>
          <w:sz w:val="22"/>
          <w:szCs w:val="22"/>
          <w:lang w:val="es-ES"/>
        </w:rPr>
      </w:pPr>
    </w:p>
    <w:p w:rsidR="008E0AB6" w:rsidRPr="00BF5CA7" w:rsidRDefault="004B3DFC" w:rsidP="008E0AB6">
      <w:pPr>
        <w:ind w:firstLine="708"/>
        <w:jc w:val="both"/>
        <w:rPr>
          <w:rFonts w:ascii="Calibri" w:hAnsi="Calibri"/>
          <w:color w:val="7F7F7F" w:themeColor="text1" w:themeTint="80"/>
          <w:sz w:val="26"/>
          <w:szCs w:val="26"/>
        </w:rPr>
      </w:pPr>
      <w:r w:rsidRPr="00BF5CA7">
        <w:rPr>
          <w:rFonts w:ascii="Calibri" w:hAnsi="Calibri" w:cs="Calibri"/>
          <w:b/>
          <w:i/>
          <w:color w:val="7F7F7F" w:themeColor="text1" w:themeTint="80"/>
          <w:sz w:val="26"/>
          <w:szCs w:val="26"/>
        </w:rPr>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656D08">
        <w:rPr>
          <w:rFonts w:ascii="Calibri" w:hAnsi="Calibri"/>
          <w:color w:val="7F7F7F" w:themeColor="text1" w:themeTint="80"/>
          <w:sz w:val="26"/>
          <w:szCs w:val="26"/>
        </w:rPr>
        <w:t>l</w:t>
      </w:r>
      <w:r w:rsidR="008E0AB6" w:rsidRPr="00BF5CA7">
        <w:rPr>
          <w:rFonts w:ascii="Calibri" w:hAnsi="Calibri"/>
          <w:color w:val="7F7F7F" w:themeColor="text1" w:themeTint="80"/>
          <w:sz w:val="26"/>
          <w:szCs w:val="26"/>
        </w:rPr>
        <w:t xml:space="preserve"> inspector demandad</w:t>
      </w:r>
      <w:r w:rsidR="00656D08">
        <w:rPr>
          <w:rFonts w:ascii="Calibri" w:hAnsi="Calibri"/>
          <w:color w:val="7F7F7F" w:themeColor="text1" w:themeTint="80"/>
          <w:sz w:val="26"/>
          <w:szCs w:val="26"/>
        </w:rPr>
        <w:t>o</w:t>
      </w:r>
      <w:r w:rsidR="00FF7E91">
        <w:rPr>
          <w:rFonts w:ascii="Calibri" w:hAnsi="Calibri"/>
          <w:color w:val="7F7F7F" w:themeColor="text1" w:themeTint="80"/>
          <w:sz w:val="26"/>
          <w:szCs w:val="26"/>
        </w:rPr>
        <w:t>s</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 xml:space="preserve">se </w:t>
      </w:r>
      <w:r w:rsidR="008E0AB6" w:rsidRPr="005C1EF8">
        <w:rPr>
          <w:rFonts w:ascii="Calibri" w:hAnsi="Calibri"/>
          <w:b/>
          <w:color w:val="7F7F7F" w:themeColor="text1" w:themeTint="80"/>
          <w:sz w:val="26"/>
          <w:szCs w:val="26"/>
        </w:rPr>
        <w:t xml:space="preserve">levante </w:t>
      </w:r>
      <w:r w:rsidR="008E0AB6" w:rsidRPr="00BB36E8">
        <w:rPr>
          <w:rFonts w:ascii="Calibri" w:hAnsi="Calibri"/>
          <w:color w:val="7F7F7F" w:themeColor="text1" w:themeTint="80"/>
          <w:sz w:val="26"/>
          <w:szCs w:val="26"/>
        </w:rPr>
        <w:t>la</w:t>
      </w:r>
      <w:r w:rsidR="008E0AB6" w:rsidRPr="005C1EF8">
        <w:rPr>
          <w:rFonts w:ascii="Calibri" w:hAnsi="Calibri"/>
          <w:b/>
          <w:color w:val="7F7F7F" w:themeColor="text1" w:themeTint="80"/>
          <w:sz w:val="26"/>
          <w:szCs w:val="26"/>
        </w:rPr>
        <w:t xml:space="preserve"> clausura</w:t>
      </w:r>
      <w:r w:rsidR="008E0AB6" w:rsidRPr="00BF5CA7">
        <w:rPr>
          <w:rFonts w:ascii="Calibri" w:hAnsi="Calibri"/>
          <w:color w:val="7F7F7F" w:themeColor="text1" w:themeTint="80"/>
          <w:sz w:val="26"/>
          <w:szCs w:val="26"/>
        </w:rPr>
        <w:t xml:space="preserve"> impuesta en fecha </w:t>
      </w:r>
      <w:r w:rsidR="002C2B92">
        <w:rPr>
          <w:rFonts w:ascii="Calibri" w:hAnsi="Calibri"/>
          <w:color w:val="7F7F7F" w:themeColor="text1" w:themeTint="80"/>
          <w:sz w:val="26"/>
          <w:szCs w:val="26"/>
        </w:rPr>
        <w:t>21 veintiuno de mayo</w:t>
      </w:r>
      <w:r w:rsidR="008E0AB6" w:rsidRPr="00BF5CA7">
        <w:rPr>
          <w:rFonts w:ascii="Calibri" w:hAnsi="Calibri"/>
          <w:color w:val="7F7F7F" w:themeColor="text1" w:themeTint="80"/>
          <w:sz w:val="26"/>
          <w:szCs w:val="26"/>
        </w:rPr>
        <w:t xml:space="preserve"> del año 2015 dos mil quince, sobre 1 una máquina </w:t>
      </w:r>
      <w:r w:rsidR="008E0AB6">
        <w:rPr>
          <w:rFonts w:ascii="Calibri" w:hAnsi="Calibri"/>
          <w:color w:val="7F7F7F" w:themeColor="text1" w:themeTint="80"/>
          <w:sz w:val="26"/>
          <w:szCs w:val="26"/>
        </w:rPr>
        <w:t xml:space="preserve">electrónica </w:t>
      </w:r>
      <w:r w:rsidR="00656D08">
        <w:rPr>
          <w:rFonts w:ascii="Calibri" w:hAnsi="Calibri"/>
          <w:color w:val="7F7F7F" w:themeColor="text1" w:themeTint="80"/>
          <w:sz w:val="26"/>
          <w:szCs w:val="26"/>
        </w:rPr>
        <w:t>tragamonedas</w:t>
      </w:r>
      <w:r w:rsidR="008E0AB6" w:rsidRPr="00BF5CA7">
        <w:rPr>
          <w:rFonts w:ascii="Calibri" w:hAnsi="Calibri"/>
          <w:color w:val="7F7F7F" w:themeColor="text1" w:themeTint="80"/>
          <w:sz w:val="26"/>
          <w:szCs w:val="26"/>
        </w:rPr>
        <w:t xml:space="preserve"> ubicada en el interior del establecimiento localizado </w:t>
      </w:r>
      <w:bookmarkStart w:id="0" w:name="_GoBack"/>
      <w:r w:rsidR="00CD56F6">
        <w:rPr>
          <w:rFonts w:ascii="Calibri" w:hAnsi="Calibri"/>
          <w:color w:val="7F7F7F" w:themeColor="text1" w:themeTint="80"/>
          <w:sz w:val="26"/>
          <w:szCs w:val="26"/>
        </w:rPr>
        <w:t>*****</w:t>
      </w:r>
      <w:bookmarkEnd w:id="0"/>
      <w:r w:rsidR="008E0AB6" w:rsidRPr="00BF5CA7">
        <w:rPr>
          <w:rFonts w:ascii="Calibri" w:hAnsi="Calibri" w:cs="Calibri"/>
          <w:color w:val="7F7F7F" w:themeColor="text1" w:themeTint="80"/>
          <w:sz w:val="26"/>
          <w:szCs w:val="26"/>
        </w:rPr>
        <w:t xml:space="preserve">; de acuerdo a lo argumentado en el Considerando Octavo de esta misma resolución. </w:t>
      </w:r>
      <w:r w:rsidR="008E0AB6">
        <w:rPr>
          <w:rFonts w:ascii="Calibri" w:hAnsi="Calibri" w:cs="Calibri"/>
          <w:color w:val="7F7F7F" w:themeColor="text1" w:themeTint="80"/>
          <w:sz w:val="26"/>
          <w:szCs w:val="26"/>
        </w:rPr>
        <w:t xml:space="preserve">. . . . . . . . . . . . . . . . . . . . . . . . . . . . </w:t>
      </w:r>
      <w:r w:rsidR="00FF7E91">
        <w:rPr>
          <w:rFonts w:ascii="Calibri" w:hAnsi="Calibri" w:cs="Calibri"/>
          <w:color w:val="7F7F7F" w:themeColor="text1" w:themeTint="80"/>
          <w:sz w:val="26"/>
          <w:szCs w:val="26"/>
        </w:rPr>
        <w:t xml:space="preserve">. . . . . . . . . . . . . . . . . . . . . . . . . . . . . . . . </w:t>
      </w:r>
    </w:p>
    <w:p w:rsidR="008E0AB6" w:rsidRPr="00BF5CA7" w:rsidRDefault="008E0AB6" w:rsidP="008E0AB6">
      <w:pPr>
        <w:pStyle w:val="Textoindependiente"/>
        <w:rPr>
          <w:rFonts w:ascii="Calibri" w:hAnsi="Calibri" w:cs="Arial"/>
          <w:b/>
          <w:bCs/>
          <w:i/>
          <w:iCs/>
          <w:color w:val="7F7F7F" w:themeColor="text1" w:themeTint="80"/>
          <w:sz w:val="22"/>
          <w:szCs w:val="22"/>
          <w:lang w:val="es-ES"/>
        </w:rPr>
      </w:pP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w:t>
      </w:r>
      <w:r w:rsidRPr="004C212B">
        <w:rPr>
          <w:rFonts w:ascii="Calibri" w:hAnsi="Calibri" w:cs="Calibri"/>
          <w:b/>
          <w:color w:val="7F7F7F" w:themeColor="text1" w:themeTint="80"/>
          <w:sz w:val="26"/>
          <w:szCs w:val="26"/>
        </w:rPr>
        <w:t>informar</w:t>
      </w:r>
      <w:r w:rsidRPr="00BF5CA7">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 . . . . . . . . . . . . . . .</w:t>
      </w:r>
      <w:r w:rsidR="00FF7E91">
        <w:rPr>
          <w:rFonts w:ascii="Calibri" w:hAnsi="Calibri" w:cs="Calibri"/>
          <w:color w:val="7F7F7F" w:themeColor="text1" w:themeTint="80"/>
          <w:sz w:val="26"/>
          <w:szCs w:val="26"/>
        </w:rPr>
        <w:t xml:space="preserve"> . </w:t>
      </w:r>
    </w:p>
    <w:p w:rsidR="00345365" w:rsidRPr="00FF7E91" w:rsidRDefault="00345365" w:rsidP="00C46636">
      <w:pPr>
        <w:pStyle w:val="Textoindependiente"/>
        <w:rPr>
          <w:rFonts w:ascii="Calibri" w:hAnsi="Calibri" w:cs="Arial"/>
          <w:color w:val="7F7F7F" w:themeColor="text1" w:themeTint="80"/>
          <w:sz w:val="26"/>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p>
    <w:p w:rsidR="004B3DFC" w:rsidRPr="00BF5CA7" w:rsidRDefault="004B3DFC" w:rsidP="004B3DF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BF5CA7" w:rsidRDefault="004B3DFC" w:rsidP="004B3DFC">
      <w:pPr>
        <w:pStyle w:val="Textoindependiente"/>
        <w:rPr>
          <w:rFonts w:ascii="Calibri" w:hAnsi="Calibri" w:cs="Arial"/>
          <w:color w:val="7F7F7F" w:themeColor="text1" w:themeTint="80"/>
          <w:sz w:val="22"/>
          <w:szCs w:val="22"/>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p w:rsidR="000C6B3D" w:rsidRDefault="000C6B3D"/>
    <w:sectPr w:rsidR="000C6B3D" w:rsidSect="00E31BEB">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00B" w:rsidRDefault="00B9100B">
      <w:r>
        <w:separator/>
      </w:r>
    </w:p>
  </w:endnote>
  <w:endnote w:type="continuationSeparator" w:id="0">
    <w:p w:rsidR="00B9100B" w:rsidRDefault="00B9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00B" w:rsidRDefault="00B9100B">
      <w:r>
        <w:separator/>
      </w:r>
    </w:p>
  </w:footnote>
  <w:footnote w:type="continuationSeparator" w:id="0">
    <w:p w:rsidR="00B9100B" w:rsidRDefault="00B91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B9100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D56F6">
      <w:rPr>
        <w:rStyle w:val="Nmerodepgina"/>
        <w:noProof/>
      </w:rPr>
      <w:t>4</w:t>
    </w:r>
    <w:r>
      <w:rPr>
        <w:rStyle w:val="Nmerodepgina"/>
      </w:rPr>
      <w:fldChar w:fldCharType="end"/>
    </w:r>
  </w:p>
  <w:p w:rsidR="00A70119" w:rsidRDefault="00B910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12BEF"/>
    <w:rsid w:val="00014356"/>
    <w:rsid w:val="000314EF"/>
    <w:rsid w:val="0005343A"/>
    <w:rsid w:val="000678C4"/>
    <w:rsid w:val="00074B0E"/>
    <w:rsid w:val="000909AE"/>
    <w:rsid w:val="000954F8"/>
    <w:rsid w:val="000A4ED3"/>
    <w:rsid w:val="000C6B3D"/>
    <w:rsid w:val="000D6D33"/>
    <w:rsid w:val="000E019D"/>
    <w:rsid w:val="000E64C5"/>
    <w:rsid w:val="000F12ED"/>
    <w:rsid w:val="00105035"/>
    <w:rsid w:val="00114938"/>
    <w:rsid w:val="00116B5A"/>
    <w:rsid w:val="00134594"/>
    <w:rsid w:val="00140A1C"/>
    <w:rsid w:val="00150289"/>
    <w:rsid w:val="00172E57"/>
    <w:rsid w:val="00180E1F"/>
    <w:rsid w:val="0018462E"/>
    <w:rsid w:val="00193C54"/>
    <w:rsid w:val="001C1EB4"/>
    <w:rsid w:val="001E492B"/>
    <w:rsid w:val="00202A4D"/>
    <w:rsid w:val="00212C7C"/>
    <w:rsid w:val="00216FD3"/>
    <w:rsid w:val="00231AD0"/>
    <w:rsid w:val="00245DB1"/>
    <w:rsid w:val="0027508E"/>
    <w:rsid w:val="002802A8"/>
    <w:rsid w:val="002919BC"/>
    <w:rsid w:val="00295DA4"/>
    <w:rsid w:val="002974BB"/>
    <w:rsid w:val="002A3DAF"/>
    <w:rsid w:val="002C2B92"/>
    <w:rsid w:val="00343E70"/>
    <w:rsid w:val="00345365"/>
    <w:rsid w:val="00355D69"/>
    <w:rsid w:val="00363074"/>
    <w:rsid w:val="0038550B"/>
    <w:rsid w:val="003C319B"/>
    <w:rsid w:val="003D0914"/>
    <w:rsid w:val="003D0B6B"/>
    <w:rsid w:val="003F70E0"/>
    <w:rsid w:val="0041005A"/>
    <w:rsid w:val="004328C1"/>
    <w:rsid w:val="00436BB1"/>
    <w:rsid w:val="00437FCC"/>
    <w:rsid w:val="004655C3"/>
    <w:rsid w:val="0047616C"/>
    <w:rsid w:val="0047708E"/>
    <w:rsid w:val="0049794B"/>
    <w:rsid w:val="004A41DC"/>
    <w:rsid w:val="004B3DFC"/>
    <w:rsid w:val="004C212B"/>
    <w:rsid w:val="004E2B17"/>
    <w:rsid w:val="00562A66"/>
    <w:rsid w:val="00562F72"/>
    <w:rsid w:val="00567322"/>
    <w:rsid w:val="00577C15"/>
    <w:rsid w:val="005820E3"/>
    <w:rsid w:val="00591544"/>
    <w:rsid w:val="005A1EAD"/>
    <w:rsid w:val="005B2752"/>
    <w:rsid w:val="005C1EF8"/>
    <w:rsid w:val="005D15CD"/>
    <w:rsid w:val="006071F6"/>
    <w:rsid w:val="00633033"/>
    <w:rsid w:val="0064042F"/>
    <w:rsid w:val="00656D08"/>
    <w:rsid w:val="00684D24"/>
    <w:rsid w:val="00685ED2"/>
    <w:rsid w:val="006B0FF3"/>
    <w:rsid w:val="006B1F26"/>
    <w:rsid w:val="006D41F4"/>
    <w:rsid w:val="006E1F7A"/>
    <w:rsid w:val="006E5AA9"/>
    <w:rsid w:val="006F3DF8"/>
    <w:rsid w:val="006F63DA"/>
    <w:rsid w:val="006F74D0"/>
    <w:rsid w:val="0070292F"/>
    <w:rsid w:val="00706056"/>
    <w:rsid w:val="00711C4D"/>
    <w:rsid w:val="00712DF0"/>
    <w:rsid w:val="00736742"/>
    <w:rsid w:val="00781737"/>
    <w:rsid w:val="00784CB8"/>
    <w:rsid w:val="00791142"/>
    <w:rsid w:val="007926D3"/>
    <w:rsid w:val="00792CFC"/>
    <w:rsid w:val="007A0F71"/>
    <w:rsid w:val="007B3DCF"/>
    <w:rsid w:val="007D67C9"/>
    <w:rsid w:val="0080464C"/>
    <w:rsid w:val="008063DD"/>
    <w:rsid w:val="00832B72"/>
    <w:rsid w:val="00833B37"/>
    <w:rsid w:val="00834317"/>
    <w:rsid w:val="00882A95"/>
    <w:rsid w:val="008A53D5"/>
    <w:rsid w:val="008A5D63"/>
    <w:rsid w:val="008B535A"/>
    <w:rsid w:val="008B6F66"/>
    <w:rsid w:val="008C282C"/>
    <w:rsid w:val="008C61C6"/>
    <w:rsid w:val="008E0AB6"/>
    <w:rsid w:val="008E3EF2"/>
    <w:rsid w:val="008F0CF4"/>
    <w:rsid w:val="00920B03"/>
    <w:rsid w:val="009429E2"/>
    <w:rsid w:val="009466BA"/>
    <w:rsid w:val="00951162"/>
    <w:rsid w:val="00951532"/>
    <w:rsid w:val="009661F2"/>
    <w:rsid w:val="00981D66"/>
    <w:rsid w:val="0098360E"/>
    <w:rsid w:val="00992C9C"/>
    <w:rsid w:val="009964FC"/>
    <w:rsid w:val="009A23DB"/>
    <w:rsid w:val="009A50BE"/>
    <w:rsid w:val="009A69D8"/>
    <w:rsid w:val="009B4FBA"/>
    <w:rsid w:val="009E10FA"/>
    <w:rsid w:val="009E15DC"/>
    <w:rsid w:val="009F2D99"/>
    <w:rsid w:val="00A02F6E"/>
    <w:rsid w:val="00A107AD"/>
    <w:rsid w:val="00A11BC5"/>
    <w:rsid w:val="00A17A21"/>
    <w:rsid w:val="00A217CD"/>
    <w:rsid w:val="00A22410"/>
    <w:rsid w:val="00A2439F"/>
    <w:rsid w:val="00A32EE2"/>
    <w:rsid w:val="00A4026C"/>
    <w:rsid w:val="00A57007"/>
    <w:rsid w:val="00A8545F"/>
    <w:rsid w:val="00A97819"/>
    <w:rsid w:val="00A97A65"/>
    <w:rsid w:val="00AB357D"/>
    <w:rsid w:val="00AB7C8F"/>
    <w:rsid w:val="00AC206B"/>
    <w:rsid w:val="00AC308A"/>
    <w:rsid w:val="00AE1A6F"/>
    <w:rsid w:val="00AE3E7D"/>
    <w:rsid w:val="00B05B82"/>
    <w:rsid w:val="00B41372"/>
    <w:rsid w:val="00B427DE"/>
    <w:rsid w:val="00B62D66"/>
    <w:rsid w:val="00B64012"/>
    <w:rsid w:val="00B65360"/>
    <w:rsid w:val="00B75A23"/>
    <w:rsid w:val="00B75DD6"/>
    <w:rsid w:val="00B9100B"/>
    <w:rsid w:val="00BB36E8"/>
    <w:rsid w:val="00BC5DA4"/>
    <w:rsid w:val="00BF0BF6"/>
    <w:rsid w:val="00BF6197"/>
    <w:rsid w:val="00BF7A26"/>
    <w:rsid w:val="00C00F37"/>
    <w:rsid w:val="00C10076"/>
    <w:rsid w:val="00C10164"/>
    <w:rsid w:val="00C464F2"/>
    <w:rsid w:val="00C46636"/>
    <w:rsid w:val="00C53E42"/>
    <w:rsid w:val="00C72228"/>
    <w:rsid w:val="00C73B77"/>
    <w:rsid w:val="00CA2C14"/>
    <w:rsid w:val="00CB716A"/>
    <w:rsid w:val="00CC4BC1"/>
    <w:rsid w:val="00CD2045"/>
    <w:rsid w:val="00CD56F6"/>
    <w:rsid w:val="00CE396D"/>
    <w:rsid w:val="00CF7B38"/>
    <w:rsid w:val="00D065A4"/>
    <w:rsid w:val="00D1202C"/>
    <w:rsid w:val="00D14E8F"/>
    <w:rsid w:val="00D22BF3"/>
    <w:rsid w:val="00D30188"/>
    <w:rsid w:val="00D4766E"/>
    <w:rsid w:val="00D61484"/>
    <w:rsid w:val="00D77803"/>
    <w:rsid w:val="00D77B11"/>
    <w:rsid w:val="00DB641E"/>
    <w:rsid w:val="00DE0314"/>
    <w:rsid w:val="00DF3DD6"/>
    <w:rsid w:val="00E0072D"/>
    <w:rsid w:val="00E16C1B"/>
    <w:rsid w:val="00E31BEB"/>
    <w:rsid w:val="00E41CB1"/>
    <w:rsid w:val="00E50512"/>
    <w:rsid w:val="00E54AA9"/>
    <w:rsid w:val="00E550D3"/>
    <w:rsid w:val="00E77635"/>
    <w:rsid w:val="00E83986"/>
    <w:rsid w:val="00E950DE"/>
    <w:rsid w:val="00E959B2"/>
    <w:rsid w:val="00EA36B8"/>
    <w:rsid w:val="00EA4780"/>
    <w:rsid w:val="00EC668E"/>
    <w:rsid w:val="00EC7D6A"/>
    <w:rsid w:val="00EE4879"/>
    <w:rsid w:val="00F52045"/>
    <w:rsid w:val="00F54858"/>
    <w:rsid w:val="00F95EF2"/>
    <w:rsid w:val="00FA04C4"/>
    <w:rsid w:val="00FA79FD"/>
    <w:rsid w:val="00FB227A"/>
    <w:rsid w:val="00FB6D86"/>
    <w:rsid w:val="00FB7B8F"/>
    <w:rsid w:val="00FC2718"/>
    <w:rsid w:val="00FC6D4E"/>
    <w:rsid w:val="00FD5D57"/>
    <w:rsid w:val="00FE0446"/>
    <w:rsid w:val="00FE6FD0"/>
    <w:rsid w:val="00FF119B"/>
    <w:rsid w:val="00FF7E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114494840">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807936172">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 w:id="936139513">
      <w:bodyDiv w:val="1"/>
      <w:marLeft w:val="0"/>
      <w:marRight w:val="0"/>
      <w:marTop w:val="0"/>
      <w:marBottom w:val="0"/>
      <w:divBdr>
        <w:top w:val="none" w:sz="0" w:space="0" w:color="auto"/>
        <w:left w:val="none" w:sz="0" w:space="0" w:color="auto"/>
        <w:bottom w:val="none" w:sz="0" w:space="0" w:color="auto"/>
        <w:right w:val="none" w:sz="0" w:space="0" w:color="auto"/>
      </w:divBdr>
    </w:div>
    <w:div w:id="116177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4258</Words>
  <Characters>23419</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2017-04-28T14:08:00Z</dcterms:created>
  <dcterms:modified xsi:type="dcterms:W3CDTF">2017-04-28T14:08:00Z</dcterms:modified>
</cp:coreProperties>
</file>